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B4" w:rsidRPr="000D3D0A" w:rsidRDefault="00474BED">
      <w:pPr>
        <w:rPr>
          <w:b/>
          <w:color w:val="70AD47" w:themeColor="accent6"/>
          <w:sz w:val="28"/>
        </w:rPr>
      </w:pPr>
      <w:bookmarkStart w:id="0" w:name="_GoBack"/>
      <w:bookmarkEnd w:id="0"/>
      <w:r>
        <w:rPr>
          <w:b/>
          <w:color w:val="70AD47" w:themeColor="accent6"/>
          <w:sz w:val="28"/>
        </w:rPr>
        <w:t>2021</w:t>
      </w:r>
      <w:r w:rsidR="00670540" w:rsidRPr="000D3D0A">
        <w:rPr>
          <w:b/>
          <w:color w:val="70AD47" w:themeColor="accent6"/>
          <w:sz w:val="28"/>
        </w:rPr>
        <w:t xml:space="preserve"> WATER QUALITY RESULTS</w:t>
      </w:r>
    </w:p>
    <w:p w:rsidR="00595722" w:rsidRPr="00595722" w:rsidRDefault="00595722" w:rsidP="00595722">
      <w:pPr>
        <w:sectPr w:rsidR="00595722" w:rsidRPr="00595722" w:rsidSect="00670540">
          <w:pgSz w:w="15840" w:h="24480" w:code="1"/>
          <w:pgMar w:top="720" w:right="720" w:bottom="720" w:left="720" w:header="720" w:footer="720" w:gutter="0"/>
          <w:cols w:space="720"/>
          <w:docGrid w:linePitch="360"/>
        </w:sectPr>
      </w:pPr>
    </w:p>
    <w:p w:rsidR="003F648E" w:rsidRDefault="003F648E" w:rsidP="00670540">
      <w:pPr>
        <w:spacing w:before="11" w:after="24" w:line="186" w:lineRule="exact"/>
        <w:textAlignment w:val="baseline"/>
        <w:rPr>
          <w:rFonts w:eastAsia="Times New Roman"/>
          <w:color w:val="000000"/>
          <w:spacing w:val="-2"/>
        </w:rPr>
      </w:pPr>
    </w:p>
    <w:tbl>
      <w:tblPr>
        <w:tblW w:w="14210" w:type="dxa"/>
        <w:tblLook w:val="04A0" w:firstRow="1" w:lastRow="0" w:firstColumn="1" w:lastColumn="0" w:noHBand="0" w:noVBand="1"/>
      </w:tblPr>
      <w:tblGrid>
        <w:gridCol w:w="4040"/>
        <w:gridCol w:w="1182"/>
        <w:gridCol w:w="618"/>
        <w:gridCol w:w="758"/>
        <w:gridCol w:w="1120"/>
        <w:gridCol w:w="1362"/>
        <w:gridCol w:w="1243"/>
        <w:gridCol w:w="3887"/>
      </w:tblGrid>
      <w:tr w:rsidR="00C92CF7" w:rsidRPr="00C92CF7" w:rsidTr="006B603E">
        <w:trPr>
          <w:trHeight w:val="285"/>
        </w:trPr>
        <w:tc>
          <w:tcPr>
            <w:tcW w:w="14210" w:type="dxa"/>
            <w:gridSpan w:val="8"/>
            <w:tcBorders>
              <w:top w:val="single" w:sz="8" w:space="0" w:color="70AD47"/>
              <w:left w:val="single" w:sz="8" w:space="0" w:color="70AD47"/>
              <w:bottom w:val="nil"/>
              <w:right w:val="single" w:sz="8" w:space="0" w:color="70AD47"/>
            </w:tcBorders>
            <w:shd w:val="clear" w:color="000000" w:fill="548235"/>
            <w:noWrap/>
            <w:vAlign w:val="bottom"/>
            <w:hideMark/>
          </w:tcPr>
          <w:p w:rsidR="00C92CF7" w:rsidRPr="00C92CF7" w:rsidRDefault="00C92CF7" w:rsidP="00C92CF7">
            <w:pPr>
              <w:rPr>
                <w:rFonts w:ascii="Calibri" w:eastAsia="Times New Roman" w:hAnsi="Calibri" w:cs="Calibri"/>
                <w:b/>
                <w:bCs/>
                <w:color w:val="FFFFFF"/>
              </w:rPr>
            </w:pPr>
            <w:r w:rsidRPr="00C92CF7">
              <w:rPr>
                <w:rFonts w:ascii="Calibri" w:eastAsia="Times New Roman" w:hAnsi="Calibri" w:cs="Calibri"/>
                <w:b/>
                <w:bCs/>
                <w:color w:val="FFFFFF"/>
              </w:rPr>
              <w:t>REGULATED SUBSTANCES</w:t>
            </w:r>
          </w:p>
        </w:tc>
      </w:tr>
      <w:tr w:rsidR="00C92CF7" w:rsidRPr="00C92CF7" w:rsidTr="006B603E">
        <w:trPr>
          <w:trHeight w:val="578"/>
        </w:trPr>
        <w:tc>
          <w:tcPr>
            <w:tcW w:w="4040" w:type="dxa"/>
            <w:tcBorders>
              <w:top w:val="nil"/>
              <w:left w:val="single" w:sz="8" w:space="0" w:color="70AD47"/>
              <w:bottom w:val="nil"/>
              <w:right w:val="nil"/>
            </w:tcBorders>
            <w:shd w:val="clear" w:color="000000" w:fill="C6E0B4"/>
            <w:noWrap/>
            <w:vAlign w:val="center"/>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SUBSTANCES (UNIT)</w:t>
            </w:r>
          </w:p>
        </w:tc>
        <w:tc>
          <w:tcPr>
            <w:tcW w:w="1182" w:type="dxa"/>
            <w:tcBorders>
              <w:top w:val="nil"/>
              <w:left w:val="nil"/>
              <w:bottom w:val="nil"/>
              <w:right w:val="nil"/>
            </w:tcBorders>
            <w:shd w:val="clear" w:color="000000" w:fill="C6E0B4"/>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YEAR SAMPLED</w:t>
            </w:r>
          </w:p>
        </w:tc>
        <w:tc>
          <w:tcPr>
            <w:tcW w:w="618" w:type="dxa"/>
            <w:tcBorders>
              <w:top w:val="nil"/>
              <w:left w:val="nil"/>
              <w:bottom w:val="nil"/>
              <w:right w:val="nil"/>
            </w:tcBorders>
            <w:shd w:val="clear" w:color="000000" w:fill="C6E0B4"/>
            <w:noWrap/>
            <w:vAlign w:val="center"/>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MCL</w:t>
            </w:r>
          </w:p>
        </w:tc>
        <w:tc>
          <w:tcPr>
            <w:tcW w:w="758" w:type="dxa"/>
            <w:tcBorders>
              <w:top w:val="nil"/>
              <w:left w:val="nil"/>
              <w:bottom w:val="nil"/>
              <w:right w:val="nil"/>
            </w:tcBorders>
            <w:shd w:val="clear" w:color="000000" w:fill="C6E0B4"/>
            <w:noWrap/>
            <w:vAlign w:val="center"/>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MCLG</w:t>
            </w:r>
          </w:p>
        </w:tc>
        <w:tc>
          <w:tcPr>
            <w:tcW w:w="1120" w:type="dxa"/>
            <w:tcBorders>
              <w:top w:val="nil"/>
              <w:left w:val="nil"/>
              <w:bottom w:val="nil"/>
              <w:right w:val="nil"/>
            </w:tcBorders>
            <w:shd w:val="clear" w:color="000000" w:fill="C6E0B4"/>
            <w:noWrap/>
            <w:vAlign w:val="center"/>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RESULTS</w:t>
            </w:r>
          </w:p>
        </w:tc>
        <w:tc>
          <w:tcPr>
            <w:tcW w:w="1362" w:type="dxa"/>
            <w:tcBorders>
              <w:top w:val="nil"/>
              <w:left w:val="nil"/>
              <w:bottom w:val="nil"/>
              <w:right w:val="nil"/>
            </w:tcBorders>
            <w:shd w:val="clear" w:color="000000" w:fill="C6E0B4"/>
            <w:noWrap/>
            <w:vAlign w:val="center"/>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RANGE</w:t>
            </w:r>
          </w:p>
        </w:tc>
        <w:tc>
          <w:tcPr>
            <w:tcW w:w="1243" w:type="dxa"/>
            <w:tcBorders>
              <w:top w:val="nil"/>
              <w:left w:val="nil"/>
              <w:bottom w:val="nil"/>
              <w:right w:val="nil"/>
            </w:tcBorders>
            <w:shd w:val="clear" w:color="000000" w:fill="C6E0B4"/>
            <w:noWrap/>
            <w:vAlign w:val="center"/>
            <w:hideMark/>
          </w:tcPr>
          <w:p w:rsidR="00C92CF7" w:rsidRPr="00C92CF7" w:rsidRDefault="00C92CF7" w:rsidP="00C92CF7">
            <w:pPr>
              <w:jc w:val="center"/>
              <w:rPr>
                <w:rFonts w:ascii="Calibri" w:eastAsia="Times New Roman" w:hAnsi="Calibri" w:cs="Calibri"/>
                <w:color w:val="000000"/>
                <w:sz w:val="20"/>
                <w:szCs w:val="20"/>
              </w:rPr>
            </w:pPr>
            <w:r w:rsidRPr="00C92CF7">
              <w:rPr>
                <w:rFonts w:ascii="Calibri" w:eastAsia="Times New Roman" w:hAnsi="Calibri" w:cs="Calibri"/>
                <w:color w:val="000000"/>
                <w:sz w:val="20"/>
                <w:szCs w:val="20"/>
              </w:rPr>
              <w:t>VIOLATIONS</w:t>
            </w:r>
          </w:p>
        </w:tc>
        <w:tc>
          <w:tcPr>
            <w:tcW w:w="3887" w:type="dxa"/>
            <w:tcBorders>
              <w:top w:val="nil"/>
              <w:left w:val="nil"/>
              <w:bottom w:val="nil"/>
              <w:right w:val="single" w:sz="8" w:space="0" w:color="70AD47"/>
            </w:tcBorders>
            <w:shd w:val="clear" w:color="000000" w:fill="C6E0B4"/>
            <w:noWrap/>
            <w:vAlign w:val="center"/>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TYPICAL SOURCE</w:t>
            </w:r>
          </w:p>
        </w:tc>
      </w:tr>
      <w:tr w:rsidR="006B603E" w:rsidRPr="00C92CF7" w:rsidTr="006B603E">
        <w:trPr>
          <w:trHeight w:val="293"/>
        </w:trPr>
        <w:tc>
          <w:tcPr>
            <w:tcW w:w="4040" w:type="dxa"/>
            <w:tcBorders>
              <w:top w:val="single" w:sz="8" w:space="0" w:color="70AD47"/>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Arsenic (ppb)</w:t>
            </w:r>
          </w:p>
        </w:tc>
        <w:tc>
          <w:tcPr>
            <w:tcW w:w="1182" w:type="dxa"/>
            <w:tcBorders>
              <w:top w:val="single" w:sz="8" w:space="0" w:color="70AD47"/>
              <w:left w:val="nil"/>
              <w:bottom w:val="single" w:sz="8" w:space="0" w:color="70AD47"/>
              <w:right w:val="nil"/>
            </w:tcBorders>
            <w:shd w:val="clear" w:color="auto" w:fill="auto"/>
            <w:vAlign w:val="bottom"/>
            <w:hideMark/>
          </w:tcPr>
          <w:p w:rsidR="00C92CF7" w:rsidRPr="00C92CF7" w:rsidRDefault="00474BED" w:rsidP="00C92CF7">
            <w:pPr>
              <w:jc w:val="center"/>
              <w:rPr>
                <w:rFonts w:ascii="Calibri" w:eastAsia="Times New Roman" w:hAnsi="Calibri" w:cs="Calibri"/>
                <w:color w:val="000000"/>
              </w:rPr>
            </w:pPr>
            <w:r>
              <w:rPr>
                <w:rFonts w:ascii="Calibri" w:eastAsia="Times New Roman" w:hAnsi="Calibri" w:cs="Calibri"/>
                <w:color w:val="000000"/>
              </w:rPr>
              <w:t>2021</w:t>
            </w:r>
          </w:p>
        </w:tc>
        <w:tc>
          <w:tcPr>
            <w:tcW w:w="618" w:type="dxa"/>
            <w:tcBorders>
              <w:top w:val="single" w:sz="8" w:space="0" w:color="70AD47"/>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10</w:t>
            </w:r>
          </w:p>
        </w:tc>
        <w:tc>
          <w:tcPr>
            <w:tcW w:w="758" w:type="dxa"/>
            <w:tcBorders>
              <w:top w:val="single" w:sz="8" w:space="0" w:color="70AD47"/>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0</w:t>
            </w:r>
          </w:p>
        </w:tc>
        <w:tc>
          <w:tcPr>
            <w:tcW w:w="1120" w:type="dxa"/>
            <w:tcBorders>
              <w:top w:val="single" w:sz="8" w:space="0" w:color="70AD47"/>
              <w:left w:val="nil"/>
              <w:bottom w:val="single" w:sz="8" w:space="0" w:color="70AD47"/>
              <w:right w:val="single" w:sz="8" w:space="0" w:color="70AD47"/>
            </w:tcBorders>
            <w:shd w:val="clear" w:color="auto" w:fill="auto"/>
            <w:noWrap/>
            <w:vAlign w:val="bottom"/>
            <w:hideMark/>
          </w:tcPr>
          <w:p w:rsidR="00C92CF7" w:rsidRPr="00C92CF7" w:rsidRDefault="00474BED" w:rsidP="00C92CF7">
            <w:pPr>
              <w:jc w:val="center"/>
              <w:rPr>
                <w:rFonts w:ascii="Calibri" w:eastAsia="Times New Roman" w:hAnsi="Calibri" w:cs="Calibri"/>
                <w:color w:val="000000"/>
              </w:rPr>
            </w:pPr>
            <w:r>
              <w:rPr>
                <w:rFonts w:ascii="Calibri" w:eastAsia="Times New Roman" w:hAnsi="Calibri" w:cs="Calibri"/>
                <w:color w:val="000000"/>
              </w:rPr>
              <w:t>1.2</w:t>
            </w:r>
          </w:p>
        </w:tc>
        <w:tc>
          <w:tcPr>
            <w:tcW w:w="1362" w:type="dxa"/>
            <w:tcBorders>
              <w:top w:val="single" w:sz="8" w:space="0" w:color="70AD47"/>
              <w:left w:val="nil"/>
              <w:bottom w:val="single" w:sz="8" w:space="0" w:color="70AD47"/>
              <w:right w:val="single" w:sz="8" w:space="0" w:color="70AD47"/>
            </w:tcBorders>
            <w:shd w:val="clear" w:color="auto" w:fill="auto"/>
            <w:noWrap/>
            <w:vAlign w:val="bottom"/>
            <w:hideMark/>
          </w:tcPr>
          <w:p w:rsidR="00C92CF7" w:rsidRPr="00C92CF7" w:rsidRDefault="00474BED" w:rsidP="00E01F53">
            <w:pPr>
              <w:jc w:val="center"/>
              <w:rPr>
                <w:rFonts w:ascii="Calibri" w:eastAsia="Times New Roman" w:hAnsi="Calibri" w:cs="Calibri"/>
                <w:color w:val="000000"/>
              </w:rPr>
            </w:pPr>
            <w:r>
              <w:rPr>
                <w:rFonts w:ascii="Calibri" w:eastAsia="Times New Roman" w:hAnsi="Calibri" w:cs="Calibri"/>
                <w:color w:val="000000"/>
              </w:rPr>
              <w:t>0 - 1.2</w:t>
            </w:r>
          </w:p>
        </w:tc>
        <w:tc>
          <w:tcPr>
            <w:tcW w:w="1243" w:type="dxa"/>
            <w:tcBorders>
              <w:top w:val="single" w:sz="8" w:space="0" w:color="70AD47"/>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single" w:sz="8" w:space="0" w:color="70AD47"/>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Natural Deposits</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Barium (ppm)</w:t>
            </w:r>
          </w:p>
        </w:tc>
        <w:tc>
          <w:tcPr>
            <w:tcW w:w="1182" w:type="dxa"/>
            <w:tcBorders>
              <w:top w:val="nil"/>
              <w:left w:val="nil"/>
              <w:bottom w:val="single" w:sz="8" w:space="0" w:color="70AD47"/>
              <w:right w:val="nil"/>
            </w:tcBorders>
            <w:shd w:val="clear" w:color="auto" w:fill="auto"/>
            <w:vAlign w:val="bottom"/>
            <w:hideMark/>
          </w:tcPr>
          <w:p w:rsidR="00C92CF7" w:rsidRPr="00C92CF7" w:rsidRDefault="00474BED" w:rsidP="00C92CF7">
            <w:pPr>
              <w:jc w:val="center"/>
              <w:rPr>
                <w:rFonts w:ascii="Calibri" w:eastAsia="Times New Roman" w:hAnsi="Calibri" w:cs="Calibri"/>
                <w:color w:val="000000"/>
              </w:rPr>
            </w:pPr>
            <w:r>
              <w:rPr>
                <w:rFonts w:ascii="Calibri" w:eastAsia="Times New Roman" w:hAnsi="Calibri" w:cs="Calibri"/>
                <w:color w:val="000000"/>
              </w:rPr>
              <w:t>2021</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474BED" w:rsidP="00C92CF7">
            <w:pPr>
              <w:jc w:val="center"/>
              <w:rPr>
                <w:rFonts w:ascii="Calibri" w:eastAsia="Times New Roman" w:hAnsi="Calibri" w:cs="Calibri"/>
                <w:color w:val="000000"/>
              </w:rPr>
            </w:pPr>
            <w:r>
              <w:rPr>
                <w:rFonts w:ascii="Calibri" w:eastAsia="Times New Roman" w:hAnsi="Calibri" w:cs="Calibri"/>
                <w:color w:val="000000"/>
              </w:rPr>
              <w:t>0.256</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E01F53">
            <w:pPr>
              <w:jc w:val="center"/>
              <w:rPr>
                <w:rFonts w:ascii="Calibri" w:eastAsia="Times New Roman" w:hAnsi="Calibri" w:cs="Calibri"/>
                <w:color w:val="000000"/>
              </w:rPr>
            </w:pPr>
            <w:r w:rsidRPr="00C92CF7">
              <w:rPr>
                <w:rFonts w:ascii="Calibri" w:eastAsia="Times New Roman" w:hAnsi="Calibri" w:cs="Calibri"/>
                <w:color w:val="000000"/>
              </w:rPr>
              <w:t>0.2</w:t>
            </w:r>
            <w:r w:rsidR="00474BED">
              <w:rPr>
                <w:rFonts w:ascii="Calibri" w:eastAsia="Times New Roman" w:hAnsi="Calibri" w:cs="Calibri"/>
                <w:color w:val="000000"/>
              </w:rPr>
              <w:t>1 - 0.256</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Natural Deposits</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Fluoride (ppm)</w:t>
            </w:r>
          </w:p>
        </w:tc>
        <w:tc>
          <w:tcPr>
            <w:tcW w:w="1182" w:type="dxa"/>
            <w:tcBorders>
              <w:top w:val="nil"/>
              <w:left w:val="nil"/>
              <w:bottom w:val="single" w:sz="8" w:space="0" w:color="70AD47"/>
              <w:right w:val="nil"/>
            </w:tcBorders>
            <w:shd w:val="clear" w:color="auto" w:fill="auto"/>
            <w:vAlign w:val="bottom"/>
            <w:hideMark/>
          </w:tcPr>
          <w:p w:rsidR="00C92CF7" w:rsidRPr="00C92CF7" w:rsidRDefault="00474BED" w:rsidP="00C92CF7">
            <w:pPr>
              <w:jc w:val="center"/>
              <w:rPr>
                <w:rFonts w:ascii="Calibri" w:eastAsia="Times New Roman" w:hAnsi="Calibri" w:cs="Calibri"/>
                <w:color w:val="000000"/>
              </w:rPr>
            </w:pPr>
            <w:r>
              <w:rPr>
                <w:rFonts w:ascii="Calibri" w:eastAsia="Times New Roman" w:hAnsi="Calibri" w:cs="Calibri"/>
                <w:color w:val="000000"/>
              </w:rPr>
              <w:t>2021</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4</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4</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474BED" w:rsidP="00C92CF7">
            <w:pPr>
              <w:jc w:val="center"/>
              <w:rPr>
                <w:rFonts w:ascii="Calibri" w:eastAsia="Times New Roman" w:hAnsi="Calibri" w:cs="Calibri"/>
                <w:color w:val="000000"/>
              </w:rPr>
            </w:pPr>
            <w:r>
              <w:rPr>
                <w:rFonts w:ascii="Calibri" w:eastAsia="Times New Roman" w:hAnsi="Calibri" w:cs="Calibri"/>
                <w:color w:val="000000"/>
              </w:rPr>
              <w:t>0.8</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474BED" w:rsidP="00E01F53">
            <w:pPr>
              <w:jc w:val="center"/>
              <w:rPr>
                <w:rFonts w:ascii="Calibri" w:eastAsia="Times New Roman" w:hAnsi="Calibri" w:cs="Calibri"/>
                <w:color w:val="000000"/>
              </w:rPr>
            </w:pPr>
            <w:r>
              <w:rPr>
                <w:rFonts w:ascii="Calibri" w:eastAsia="Times New Roman" w:hAnsi="Calibri" w:cs="Calibri"/>
                <w:color w:val="000000"/>
              </w:rPr>
              <w:t>0.2 - 0.8</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Natural Deposits</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Gross Alpha, Excl Radon &amp; Uranium (pCi/L)</w:t>
            </w:r>
          </w:p>
        </w:tc>
        <w:tc>
          <w:tcPr>
            <w:tcW w:w="1182" w:type="dxa"/>
            <w:tcBorders>
              <w:top w:val="nil"/>
              <w:left w:val="nil"/>
              <w:bottom w:val="single" w:sz="8" w:space="0" w:color="70AD47"/>
              <w:right w:val="nil"/>
            </w:tcBorders>
            <w:shd w:val="clear" w:color="auto" w:fill="auto"/>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2017</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15</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0</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2.8</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E01F53">
            <w:pPr>
              <w:jc w:val="center"/>
              <w:rPr>
                <w:rFonts w:ascii="Calibri" w:eastAsia="Times New Roman" w:hAnsi="Calibri" w:cs="Calibri"/>
                <w:color w:val="000000"/>
              </w:rPr>
            </w:pPr>
            <w:r w:rsidRPr="00C92CF7">
              <w:rPr>
                <w:rFonts w:ascii="Calibri" w:eastAsia="Times New Roman" w:hAnsi="Calibri" w:cs="Calibri"/>
                <w:color w:val="000000"/>
              </w:rPr>
              <w:t>0.44 - 2.8</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Erosion of natural deposit</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Nickel (ppb)</w:t>
            </w:r>
          </w:p>
        </w:tc>
        <w:tc>
          <w:tcPr>
            <w:tcW w:w="1182" w:type="dxa"/>
            <w:tcBorders>
              <w:top w:val="nil"/>
              <w:left w:val="nil"/>
              <w:bottom w:val="single" w:sz="8" w:space="0" w:color="70AD47"/>
              <w:right w:val="nil"/>
            </w:tcBorders>
            <w:shd w:val="clear" w:color="auto" w:fill="auto"/>
            <w:vAlign w:val="bottom"/>
            <w:hideMark/>
          </w:tcPr>
          <w:p w:rsidR="00C92CF7" w:rsidRPr="00C92CF7" w:rsidRDefault="00F600AC" w:rsidP="00C92CF7">
            <w:pPr>
              <w:jc w:val="center"/>
              <w:rPr>
                <w:rFonts w:ascii="Calibri" w:eastAsia="Times New Roman" w:hAnsi="Calibri" w:cs="Calibri"/>
                <w:color w:val="000000"/>
              </w:rPr>
            </w:pPr>
            <w:r>
              <w:rPr>
                <w:rFonts w:ascii="Calibri" w:eastAsia="Times New Roman" w:hAnsi="Calibri" w:cs="Calibri"/>
                <w:color w:val="000000"/>
              </w:rPr>
              <w:t>2021</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E01F53" w:rsidP="00C92CF7">
            <w:pPr>
              <w:jc w:val="center"/>
              <w:rPr>
                <w:rFonts w:ascii="Calibri" w:eastAsia="Times New Roman" w:hAnsi="Calibri" w:cs="Calibri"/>
                <w:color w:val="000000"/>
              </w:rPr>
            </w:pPr>
            <w:r>
              <w:rPr>
                <w:rFonts w:ascii="Calibri" w:eastAsia="Times New Roman" w:hAnsi="Calibri" w:cs="Calibri"/>
                <w:color w:val="000000"/>
              </w:rPr>
              <w:t>3.1</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E01F53" w:rsidP="00E01F53">
            <w:pPr>
              <w:jc w:val="center"/>
              <w:rPr>
                <w:rFonts w:ascii="Calibri" w:eastAsia="Times New Roman" w:hAnsi="Calibri" w:cs="Calibri"/>
                <w:color w:val="000000"/>
              </w:rPr>
            </w:pPr>
            <w:r>
              <w:rPr>
                <w:rFonts w:ascii="Calibri" w:eastAsia="Times New Roman" w:hAnsi="Calibri" w:cs="Calibri"/>
                <w:color w:val="000000"/>
              </w:rPr>
              <w:t>1.6 -4.6</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Natural Mineral Deposit</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Nitrate (ppm)</w:t>
            </w:r>
          </w:p>
        </w:tc>
        <w:tc>
          <w:tcPr>
            <w:tcW w:w="1182" w:type="dxa"/>
            <w:tcBorders>
              <w:top w:val="nil"/>
              <w:left w:val="nil"/>
              <w:bottom w:val="single" w:sz="8" w:space="0" w:color="70AD47"/>
              <w:right w:val="nil"/>
            </w:tcBorders>
            <w:shd w:val="clear" w:color="auto" w:fill="auto"/>
            <w:vAlign w:val="bottom"/>
            <w:hideMark/>
          </w:tcPr>
          <w:p w:rsidR="00C92CF7" w:rsidRPr="00C92CF7" w:rsidRDefault="008C0E05" w:rsidP="00C92CF7">
            <w:pPr>
              <w:jc w:val="center"/>
              <w:rPr>
                <w:rFonts w:ascii="Calibri" w:eastAsia="Times New Roman" w:hAnsi="Calibri" w:cs="Calibri"/>
                <w:color w:val="000000"/>
              </w:rPr>
            </w:pPr>
            <w:r>
              <w:rPr>
                <w:rFonts w:ascii="Calibri" w:eastAsia="Times New Roman" w:hAnsi="Calibri" w:cs="Calibri"/>
                <w:color w:val="000000"/>
              </w:rPr>
              <w:t>2021</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10</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10</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8C0E05" w:rsidP="008C0E05">
            <w:pPr>
              <w:jc w:val="center"/>
              <w:rPr>
                <w:rFonts w:ascii="Calibri" w:eastAsia="Times New Roman" w:hAnsi="Calibri" w:cs="Calibri"/>
                <w:color w:val="000000"/>
              </w:rPr>
            </w:pPr>
            <w:r>
              <w:rPr>
                <w:rFonts w:ascii="Calibri" w:eastAsia="Times New Roman" w:hAnsi="Calibri" w:cs="Calibri"/>
                <w:color w:val="000000"/>
              </w:rPr>
              <w:t>0.14</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8C0E05" w:rsidP="00E01F53">
            <w:pPr>
              <w:jc w:val="center"/>
              <w:rPr>
                <w:rFonts w:ascii="Calibri" w:eastAsia="Times New Roman" w:hAnsi="Calibri" w:cs="Calibri"/>
                <w:color w:val="000000"/>
              </w:rPr>
            </w:pPr>
            <w:r>
              <w:rPr>
                <w:rFonts w:ascii="Calibri" w:eastAsia="Times New Roman" w:hAnsi="Calibri" w:cs="Calibri"/>
                <w:color w:val="000000"/>
              </w:rPr>
              <w:t>0 – 0.14</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Fertilizers, septic tank leaching</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Haloacetic Acid (ppb)</w:t>
            </w:r>
          </w:p>
        </w:tc>
        <w:tc>
          <w:tcPr>
            <w:tcW w:w="1182" w:type="dxa"/>
            <w:tcBorders>
              <w:top w:val="nil"/>
              <w:left w:val="nil"/>
              <w:bottom w:val="single" w:sz="8" w:space="0" w:color="70AD47"/>
              <w:right w:val="nil"/>
            </w:tcBorders>
            <w:shd w:val="clear" w:color="auto" w:fill="auto"/>
            <w:vAlign w:val="bottom"/>
            <w:hideMark/>
          </w:tcPr>
          <w:p w:rsidR="00C92CF7" w:rsidRPr="00C92CF7" w:rsidRDefault="00DE519A" w:rsidP="00C92CF7">
            <w:pPr>
              <w:jc w:val="center"/>
              <w:rPr>
                <w:rFonts w:ascii="Calibri" w:eastAsia="Times New Roman" w:hAnsi="Calibri" w:cs="Calibri"/>
                <w:color w:val="000000"/>
              </w:rPr>
            </w:pPr>
            <w:r>
              <w:rPr>
                <w:rFonts w:ascii="Calibri" w:eastAsia="Times New Roman" w:hAnsi="Calibri" w:cs="Calibri"/>
                <w:color w:val="000000"/>
              </w:rPr>
              <w:t>2021</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60</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0C57F2" w:rsidP="000C57F2">
            <w:pPr>
              <w:jc w:val="center"/>
              <w:rPr>
                <w:rFonts w:ascii="Calibri" w:eastAsia="Times New Roman" w:hAnsi="Calibri" w:cs="Calibri"/>
                <w:color w:val="000000"/>
              </w:rPr>
            </w:pPr>
            <w:r>
              <w:rPr>
                <w:rFonts w:ascii="Calibri" w:eastAsia="Times New Roman" w:hAnsi="Calibri" w:cs="Calibri"/>
                <w:color w:val="000000"/>
              </w:rPr>
              <w:t>11</w:t>
            </w:r>
            <w:r w:rsidR="00DE519A">
              <w:rPr>
                <w:rFonts w:ascii="Calibri" w:eastAsia="Times New Roman" w:hAnsi="Calibri" w:cs="Calibri"/>
                <w:color w:val="000000"/>
              </w:rPr>
              <w:t>.45</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DE519A" w:rsidP="00E01F53">
            <w:pPr>
              <w:jc w:val="center"/>
              <w:rPr>
                <w:rFonts w:ascii="Calibri" w:eastAsia="Times New Roman" w:hAnsi="Calibri" w:cs="Calibri"/>
                <w:color w:val="000000"/>
              </w:rPr>
            </w:pPr>
            <w:r>
              <w:rPr>
                <w:rFonts w:ascii="Calibri" w:eastAsia="Times New Roman" w:hAnsi="Calibri" w:cs="Calibri"/>
                <w:color w:val="000000"/>
              </w:rPr>
              <w:t>5 – 20.6</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Disinfection by-product</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Total Trihalomethanes (ppb)</w:t>
            </w:r>
          </w:p>
        </w:tc>
        <w:tc>
          <w:tcPr>
            <w:tcW w:w="1182" w:type="dxa"/>
            <w:tcBorders>
              <w:top w:val="nil"/>
              <w:left w:val="nil"/>
              <w:bottom w:val="single" w:sz="8" w:space="0" w:color="70AD47"/>
              <w:right w:val="nil"/>
            </w:tcBorders>
            <w:shd w:val="clear" w:color="auto" w:fill="auto"/>
            <w:vAlign w:val="bottom"/>
            <w:hideMark/>
          </w:tcPr>
          <w:p w:rsidR="00C92CF7" w:rsidRPr="00C92CF7" w:rsidRDefault="00DE519A" w:rsidP="00C92CF7">
            <w:pPr>
              <w:jc w:val="center"/>
              <w:rPr>
                <w:rFonts w:ascii="Calibri" w:eastAsia="Times New Roman" w:hAnsi="Calibri" w:cs="Calibri"/>
                <w:color w:val="000000"/>
              </w:rPr>
            </w:pPr>
            <w:r>
              <w:rPr>
                <w:rFonts w:ascii="Calibri" w:eastAsia="Times New Roman" w:hAnsi="Calibri" w:cs="Calibri"/>
                <w:color w:val="000000"/>
              </w:rPr>
              <w:t>2021</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80</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DE519A" w:rsidP="00C92CF7">
            <w:pPr>
              <w:jc w:val="center"/>
              <w:rPr>
                <w:rFonts w:ascii="Calibri" w:eastAsia="Times New Roman" w:hAnsi="Calibri" w:cs="Calibri"/>
                <w:color w:val="000000"/>
              </w:rPr>
            </w:pPr>
            <w:r>
              <w:rPr>
                <w:rFonts w:ascii="Calibri" w:eastAsia="Times New Roman" w:hAnsi="Calibri" w:cs="Calibri"/>
                <w:color w:val="000000"/>
              </w:rPr>
              <w:t>40.6</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B30C9F" w:rsidP="00E01F53">
            <w:pPr>
              <w:jc w:val="center"/>
              <w:rPr>
                <w:rFonts w:ascii="Calibri" w:eastAsia="Times New Roman" w:hAnsi="Calibri" w:cs="Calibri"/>
                <w:color w:val="000000"/>
              </w:rPr>
            </w:pPr>
            <w:r>
              <w:rPr>
                <w:rFonts w:ascii="Calibri" w:eastAsia="Times New Roman" w:hAnsi="Calibri" w:cs="Calibri"/>
                <w:color w:val="000000"/>
              </w:rPr>
              <w:t>12</w:t>
            </w:r>
            <w:r w:rsidR="00DE519A">
              <w:rPr>
                <w:rFonts w:ascii="Calibri" w:eastAsia="Times New Roman" w:hAnsi="Calibri" w:cs="Calibri"/>
                <w:color w:val="000000"/>
              </w:rPr>
              <w:t>.4 – 40.6</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Disinfection by-product</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Chlorine (ppm)</w:t>
            </w:r>
          </w:p>
        </w:tc>
        <w:tc>
          <w:tcPr>
            <w:tcW w:w="1182" w:type="dxa"/>
            <w:tcBorders>
              <w:top w:val="nil"/>
              <w:left w:val="nil"/>
              <w:bottom w:val="single" w:sz="8" w:space="0" w:color="70AD47"/>
              <w:right w:val="nil"/>
            </w:tcBorders>
            <w:shd w:val="clear" w:color="auto" w:fill="auto"/>
            <w:vAlign w:val="bottom"/>
            <w:hideMark/>
          </w:tcPr>
          <w:p w:rsidR="00C92CF7" w:rsidRPr="00C92CF7" w:rsidRDefault="005131AE" w:rsidP="00C92CF7">
            <w:pPr>
              <w:jc w:val="center"/>
              <w:rPr>
                <w:rFonts w:ascii="Calibri" w:eastAsia="Times New Roman" w:hAnsi="Calibri" w:cs="Calibri"/>
                <w:color w:val="000000"/>
              </w:rPr>
            </w:pPr>
            <w:r>
              <w:rPr>
                <w:rFonts w:ascii="Calibri" w:eastAsia="Times New Roman" w:hAnsi="Calibri" w:cs="Calibri"/>
                <w:color w:val="000000"/>
              </w:rPr>
              <w:t>2021</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4</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4</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1473E6" w:rsidP="00C92CF7">
            <w:pPr>
              <w:jc w:val="center"/>
              <w:rPr>
                <w:rFonts w:ascii="Calibri" w:eastAsia="Times New Roman" w:hAnsi="Calibri" w:cs="Calibri"/>
                <w:color w:val="000000"/>
              </w:rPr>
            </w:pPr>
            <w:r>
              <w:rPr>
                <w:rFonts w:ascii="Calibri" w:eastAsia="Times New Roman" w:hAnsi="Calibri" w:cs="Calibri"/>
                <w:color w:val="000000"/>
              </w:rPr>
              <w:t>1.01</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B30C9F" w:rsidP="00E01F53">
            <w:pPr>
              <w:jc w:val="center"/>
              <w:rPr>
                <w:rFonts w:ascii="Calibri" w:eastAsia="Times New Roman" w:hAnsi="Calibri" w:cs="Calibri"/>
                <w:color w:val="000000"/>
              </w:rPr>
            </w:pPr>
            <w:r>
              <w:rPr>
                <w:rFonts w:ascii="Calibri" w:eastAsia="Times New Roman" w:hAnsi="Calibri" w:cs="Calibri"/>
                <w:color w:val="000000"/>
              </w:rPr>
              <w:t>0.2 - 1.4</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Water additive used to control microbes</w:t>
            </w:r>
          </w:p>
        </w:tc>
      </w:tr>
      <w:tr w:rsidR="00C92CF7" w:rsidRPr="00C92CF7" w:rsidTr="006B603E">
        <w:trPr>
          <w:trHeight w:val="578"/>
        </w:trPr>
        <w:tc>
          <w:tcPr>
            <w:tcW w:w="5222" w:type="dxa"/>
            <w:gridSpan w:val="2"/>
            <w:tcBorders>
              <w:top w:val="single" w:sz="8" w:space="0" w:color="70AD47"/>
              <w:left w:val="single" w:sz="8" w:space="0" w:color="70AD47"/>
              <w:bottom w:val="nil"/>
              <w:right w:val="nil"/>
            </w:tcBorders>
            <w:shd w:val="clear" w:color="000000" w:fill="C6E0B4"/>
            <w:vAlign w:val="center"/>
            <w:hideMark/>
          </w:tcPr>
          <w:p w:rsidR="00C92CF7" w:rsidRPr="00C92CF7" w:rsidRDefault="00C92CF7" w:rsidP="00C92CF7">
            <w:pPr>
              <w:rPr>
                <w:rFonts w:ascii="Calibri" w:eastAsia="Times New Roman" w:hAnsi="Calibri" w:cs="Calibri"/>
                <w:b/>
                <w:bCs/>
                <w:color w:val="000000"/>
                <w:sz w:val="18"/>
                <w:szCs w:val="18"/>
              </w:rPr>
            </w:pPr>
            <w:r w:rsidRPr="00C92CF7">
              <w:rPr>
                <w:rFonts w:ascii="Calibri" w:eastAsia="Times New Roman" w:hAnsi="Calibri" w:cs="Calibri"/>
                <w:b/>
                <w:bCs/>
                <w:color w:val="000000"/>
                <w:sz w:val="18"/>
                <w:szCs w:val="18"/>
              </w:rPr>
              <w:t>Tap water sample were collected for lead and copper analyses from sample sites though</w:t>
            </w:r>
            <w:r w:rsidR="00E37560">
              <w:rPr>
                <w:rFonts w:ascii="Calibri" w:eastAsia="Times New Roman" w:hAnsi="Calibri" w:cs="Calibri"/>
                <w:b/>
                <w:bCs/>
                <w:color w:val="000000"/>
                <w:sz w:val="18"/>
                <w:szCs w:val="18"/>
              </w:rPr>
              <w:t xml:space="preserve"> </w:t>
            </w:r>
            <w:r w:rsidRPr="00C92CF7">
              <w:rPr>
                <w:rFonts w:ascii="Calibri" w:eastAsia="Times New Roman" w:hAnsi="Calibri" w:cs="Calibri"/>
                <w:b/>
                <w:bCs/>
                <w:color w:val="000000"/>
                <w:sz w:val="18"/>
                <w:szCs w:val="18"/>
              </w:rPr>
              <w:t>out the community</w:t>
            </w:r>
          </w:p>
        </w:tc>
        <w:tc>
          <w:tcPr>
            <w:tcW w:w="618" w:type="dxa"/>
            <w:tcBorders>
              <w:top w:val="nil"/>
              <w:left w:val="nil"/>
              <w:bottom w:val="nil"/>
              <w:right w:val="nil"/>
            </w:tcBorders>
            <w:shd w:val="clear" w:color="000000" w:fill="C6E0B4"/>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AL</w:t>
            </w:r>
          </w:p>
        </w:tc>
        <w:tc>
          <w:tcPr>
            <w:tcW w:w="758" w:type="dxa"/>
            <w:tcBorders>
              <w:top w:val="nil"/>
              <w:left w:val="nil"/>
              <w:bottom w:val="nil"/>
              <w:right w:val="nil"/>
            </w:tcBorders>
            <w:shd w:val="clear" w:color="000000" w:fill="C6E0B4"/>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MCLG</w:t>
            </w:r>
          </w:p>
        </w:tc>
        <w:tc>
          <w:tcPr>
            <w:tcW w:w="1120" w:type="dxa"/>
            <w:tcBorders>
              <w:top w:val="nil"/>
              <w:left w:val="nil"/>
              <w:bottom w:val="nil"/>
              <w:right w:val="nil"/>
            </w:tcBorders>
            <w:shd w:val="clear" w:color="000000" w:fill="C6E0B4"/>
            <w:vAlign w:val="center"/>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90th percentile</w:t>
            </w:r>
          </w:p>
        </w:tc>
        <w:tc>
          <w:tcPr>
            <w:tcW w:w="1362" w:type="dxa"/>
            <w:tcBorders>
              <w:top w:val="nil"/>
              <w:left w:val="nil"/>
              <w:bottom w:val="nil"/>
              <w:right w:val="nil"/>
            </w:tcBorders>
            <w:shd w:val="clear" w:color="000000" w:fill="C6E0B4"/>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 </w:t>
            </w:r>
          </w:p>
        </w:tc>
        <w:tc>
          <w:tcPr>
            <w:tcW w:w="1243" w:type="dxa"/>
            <w:tcBorders>
              <w:top w:val="nil"/>
              <w:left w:val="nil"/>
              <w:bottom w:val="nil"/>
              <w:right w:val="nil"/>
            </w:tcBorders>
            <w:shd w:val="clear" w:color="000000" w:fill="C6E0B4"/>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nil"/>
              <w:right w:val="single" w:sz="8" w:space="0" w:color="70AD47"/>
            </w:tcBorders>
            <w:shd w:val="clear" w:color="000000" w:fill="C6E0B4"/>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r>
      <w:tr w:rsidR="00C92CF7" w:rsidRPr="00C92CF7" w:rsidTr="006B603E">
        <w:trPr>
          <w:trHeight w:val="285"/>
        </w:trPr>
        <w:tc>
          <w:tcPr>
            <w:tcW w:w="4040" w:type="dxa"/>
            <w:tcBorders>
              <w:top w:val="nil"/>
              <w:left w:val="single" w:sz="8" w:space="0" w:color="70AD47"/>
              <w:bottom w:val="nil"/>
              <w:right w:val="nil"/>
            </w:tcBorders>
            <w:shd w:val="clear" w:color="000000" w:fill="C6E0B4"/>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Copper (ppm)</w:t>
            </w:r>
          </w:p>
        </w:tc>
        <w:tc>
          <w:tcPr>
            <w:tcW w:w="1182" w:type="dxa"/>
            <w:tcBorders>
              <w:top w:val="nil"/>
              <w:left w:val="nil"/>
              <w:bottom w:val="nil"/>
              <w:right w:val="nil"/>
            </w:tcBorders>
            <w:shd w:val="clear" w:color="000000" w:fill="C6E0B4"/>
            <w:vAlign w:val="bottom"/>
            <w:hideMark/>
          </w:tcPr>
          <w:p w:rsidR="00C92CF7" w:rsidRPr="00C92CF7" w:rsidRDefault="00A53632" w:rsidP="00C92CF7">
            <w:pPr>
              <w:jc w:val="center"/>
              <w:rPr>
                <w:rFonts w:ascii="Calibri" w:eastAsia="Times New Roman" w:hAnsi="Calibri" w:cs="Calibri"/>
                <w:color w:val="000000"/>
              </w:rPr>
            </w:pPr>
            <w:r>
              <w:rPr>
                <w:rFonts w:ascii="Calibri" w:eastAsia="Times New Roman" w:hAnsi="Calibri" w:cs="Calibri"/>
                <w:color w:val="000000"/>
              </w:rPr>
              <w:t>2020</w:t>
            </w:r>
          </w:p>
        </w:tc>
        <w:tc>
          <w:tcPr>
            <w:tcW w:w="618" w:type="dxa"/>
            <w:tcBorders>
              <w:top w:val="nil"/>
              <w:left w:val="nil"/>
              <w:bottom w:val="nil"/>
              <w:right w:val="nil"/>
            </w:tcBorders>
            <w:shd w:val="clear" w:color="000000" w:fill="C6E0B4"/>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1.3</w:t>
            </w:r>
          </w:p>
        </w:tc>
        <w:tc>
          <w:tcPr>
            <w:tcW w:w="758" w:type="dxa"/>
            <w:tcBorders>
              <w:top w:val="nil"/>
              <w:left w:val="nil"/>
              <w:bottom w:val="nil"/>
              <w:right w:val="nil"/>
            </w:tcBorders>
            <w:shd w:val="clear" w:color="000000" w:fill="C6E0B4"/>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1.3</w:t>
            </w:r>
          </w:p>
        </w:tc>
        <w:tc>
          <w:tcPr>
            <w:tcW w:w="1120" w:type="dxa"/>
            <w:tcBorders>
              <w:top w:val="nil"/>
              <w:left w:val="nil"/>
              <w:bottom w:val="nil"/>
              <w:right w:val="nil"/>
            </w:tcBorders>
            <w:shd w:val="clear" w:color="000000" w:fill="C6E0B4"/>
            <w:noWrap/>
            <w:vAlign w:val="bottom"/>
            <w:hideMark/>
          </w:tcPr>
          <w:p w:rsidR="00C92CF7" w:rsidRPr="00C92CF7" w:rsidRDefault="00344459" w:rsidP="00C92CF7">
            <w:pPr>
              <w:jc w:val="center"/>
              <w:rPr>
                <w:rFonts w:ascii="Calibri" w:eastAsia="Times New Roman" w:hAnsi="Calibri" w:cs="Calibri"/>
                <w:color w:val="000000"/>
              </w:rPr>
            </w:pPr>
            <w:r>
              <w:rPr>
                <w:rFonts w:ascii="Calibri" w:eastAsia="Times New Roman" w:hAnsi="Calibri" w:cs="Calibri"/>
                <w:color w:val="000000"/>
              </w:rPr>
              <w:t>0.785</w:t>
            </w:r>
          </w:p>
        </w:tc>
        <w:tc>
          <w:tcPr>
            <w:tcW w:w="1362" w:type="dxa"/>
            <w:tcBorders>
              <w:top w:val="nil"/>
              <w:left w:val="nil"/>
              <w:bottom w:val="nil"/>
              <w:right w:val="nil"/>
            </w:tcBorders>
            <w:shd w:val="clear" w:color="000000" w:fill="C6E0B4"/>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0 of 30&gt;AL</w:t>
            </w:r>
          </w:p>
        </w:tc>
        <w:tc>
          <w:tcPr>
            <w:tcW w:w="1243" w:type="dxa"/>
            <w:tcBorders>
              <w:top w:val="nil"/>
              <w:left w:val="nil"/>
              <w:bottom w:val="nil"/>
              <w:right w:val="nil"/>
            </w:tcBorders>
            <w:shd w:val="clear" w:color="000000" w:fill="C6E0B4"/>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nil"/>
              <w:right w:val="single" w:sz="8" w:space="0" w:color="70AD47"/>
            </w:tcBorders>
            <w:shd w:val="clear" w:color="000000" w:fill="C6E0B4"/>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Corrosion of household plumbing</w:t>
            </w:r>
          </w:p>
        </w:tc>
      </w:tr>
      <w:tr w:rsidR="00C92CF7" w:rsidRPr="00C92CF7" w:rsidTr="006B603E">
        <w:trPr>
          <w:trHeight w:val="285"/>
        </w:trPr>
        <w:tc>
          <w:tcPr>
            <w:tcW w:w="4040" w:type="dxa"/>
            <w:tcBorders>
              <w:top w:val="nil"/>
              <w:left w:val="single" w:sz="8" w:space="0" w:color="70AD47"/>
              <w:bottom w:val="nil"/>
              <w:right w:val="nil"/>
            </w:tcBorders>
            <w:shd w:val="clear" w:color="000000" w:fill="C6E0B4"/>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Lead (ppb)</w:t>
            </w:r>
          </w:p>
        </w:tc>
        <w:tc>
          <w:tcPr>
            <w:tcW w:w="1182" w:type="dxa"/>
            <w:tcBorders>
              <w:top w:val="nil"/>
              <w:left w:val="nil"/>
              <w:bottom w:val="nil"/>
              <w:right w:val="nil"/>
            </w:tcBorders>
            <w:shd w:val="clear" w:color="000000" w:fill="C6E0B4"/>
            <w:vAlign w:val="bottom"/>
            <w:hideMark/>
          </w:tcPr>
          <w:p w:rsidR="00C92CF7" w:rsidRPr="00C92CF7" w:rsidRDefault="00A53632" w:rsidP="00C92CF7">
            <w:pPr>
              <w:jc w:val="center"/>
              <w:rPr>
                <w:rFonts w:ascii="Calibri" w:eastAsia="Times New Roman" w:hAnsi="Calibri" w:cs="Calibri"/>
                <w:color w:val="000000"/>
              </w:rPr>
            </w:pPr>
            <w:r>
              <w:rPr>
                <w:rFonts w:ascii="Calibri" w:eastAsia="Times New Roman" w:hAnsi="Calibri" w:cs="Calibri"/>
                <w:color w:val="000000"/>
              </w:rPr>
              <w:t>2020</w:t>
            </w:r>
          </w:p>
        </w:tc>
        <w:tc>
          <w:tcPr>
            <w:tcW w:w="618" w:type="dxa"/>
            <w:tcBorders>
              <w:top w:val="nil"/>
              <w:left w:val="nil"/>
              <w:bottom w:val="nil"/>
              <w:right w:val="nil"/>
            </w:tcBorders>
            <w:shd w:val="clear" w:color="000000" w:fill="C6E0B4"/>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15</w:t>
            </w:r>
          </w:p>
        </w:tc>
        <w:tc>
          <w:tcPr>
            <w:tcW w:w="758" w:type="dxa"/>
            <w:tcBorders>
              <w:top w:val="nil"/>
              <w:left w:val="nil"/>
              <w:bottom w:val="nil"/>
              <w:right w:val="nil"/>
            </w:tcBorders>
            <w:shd w:val="clear" w:color="000000" w:fill="C6E0B4"/>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0</w:t>
            </w:r>
          </w:p>
        </w:tc>
        <w:tc>
          <w:tcPr>
            <w:tcW w:w="1120" w:type="dxa"/>
            <w:tcBorders>
              <w:top w:val="nil"/>
              <w:left w:val="nil"/>
              <w:bottom w:val="nil"/>
              <w:right w:val="nil"/>
            </w:tcBorders>
            <w:shd w:val="clear" w:color="000000" w:fill="C6E0B4"/>
            <w:noWrap/>
            <w:vAlign w:val="bottom"/>
            <w:hideMark/>
          </w:tcPr>
          <w:p w:rsidR="00C92CF7" w:rsidRPr="00C92CF7" w:rsidRDefault="00344459" w:rsidP="00C92CF7">
            <w:pPr>
              <w:jc w:val="center"/>
              <w:rPr>
                <w:rFonts w:ascii="Calibri" w:eastAsia="Times New Roman" w:hAnsi="Calibri" w:cs="Calibri"/>
                <w:color w:val="000000"/>
              </w:rPr>
            </w:pPr>
            <w:r>
              <w:rPr>
                <w:rFonts w:ascii="Calibri" w:eastAsia="Times New Roman" w:hAnsi="Calibri" w:cs="Calibri"/>
                <w:color w:val="000000"/>
              </w:rPr>
              <w:t>1.5</w:t>
            </w:r>
          </w:p>
        </w:tc>
        <w:tc>
          <w:tcPr>
            <w:tcW w:w="1362" w:type="dxa"/>
            <w:tcBorders>
              <w:top w:val="nil"/>
              <w:left w:val="nil"/>
              <w:bottom w:val="nil"/>
              <w:right w:val="nil"/>
            </w:tcBorders>
            <w:shd w:val="clear" w:color="000000" w:fill="C6E0B4"/>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0 of 30&gt;AL</w:t>
            </w:r>
          </w:p>
        </w:tc>
        <w:tc>
          <w:tcPr>
            <w:tcW w:w="1243" w:type="dxa"/>
            <w:tcBorders>
              <w:top w:val="nil"/>
              <w:left w:val="nil"/>
              <w:bottom w:val="nil"/>
              <w:right w:val="nil"/>
            </w:tcBorders>
            <w:shd w:val="clear" w:color="000000" w:fill="C6E0B4"/>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nil"/>
              <w:right w:val="single" w:sz="8" w:space="0" w:color="70AD47"/>
            </w:tcBorders>
            <w:shd w:val="clear" w:color="000000" w:fill="C6E0B4"/>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Corrosion of household plumbing</w:t>
            </w:r>
          </w:p>
        </w:tc>
      </w:tr>
      <w:tr w:rsidR="00C92CF7" w:rsidRPr="00C92CF7" w:rsidTr="006B603E">
        <w:trPr>
          <w:trHeight w:val="285"/>
        </w:trPr>
        <w:tc>
          <w:tcPr>
            <w:tcW w:w="4040" w:type="dxa"/>
            <w:tcBorders>
              <w:top w:val="nil"/>
              <w:left w:val="single" w:sz="8" w:space="0" w:color="70AD47"/>
              <w:bottom w:val="nil"/>
              <w:right w:val="nil"/>
            </w:tcBorders>
            <w:shd w:val="clear" w:color="000000" w:fill="70AD47"/>
            <w:noWrap/>
            <w:vAlign w:val="bottom"/>
            <w:hideMark/>
          </w:tcPr>
          <w:p w:rsidR="00C92CF7" w:rsidRPr="00C92CF7" w:rsidRDefault="00C92CF7" w:rsidP="00C92CF7">
            <w:pPr>
              <w:rPr>
                <w:rFonts w:ascii="Calibri" w:eastAsia="Times New Roman" w:hAnsi="Calibri" w:cs="Calibri"/>
                <w:b/>
                <w:bCs/>
                <w:color w:val="FFFFFF"/>
              </w:rPr>
            </w:pPr>
            <w:r w:rsidRPr="00C92CF7">
              <w:rPr>
                <w:rFonts w:ascii="Calibri" w:eastAsia="Times New Roman" w:hAnsi="Calibri" w:cs="Calibri"/>
                <w:b/>
                <w:bCs/>
                <w:color w:val="FFFFFF"/>
              </w:rPr>
              <w:t>SECONARY SUBSTANCES</w:t>
            </w:r>
          </w:p>
        </w:tc>
        <w:tc>
          <w:tcPr>
            <w:tcW w:w="1182" w:type="dxa"/>
            <w:tcBorders>
              <w:top w:val="nil"/>
              <w:left w:val="nil"/>
              <w:bottom w:val="nil"/>
              <w:right w:val="nil"/>
            </w:tcBorders>
            <w:shd w:val="clear" w:color="000000" w:fill="70AD47"/>
            <w:vAlign w:val="bottom"/>
            <w:hideMark/>
          </w:tcPr>
          <w:p w:rsidR="00C92CF7" w:rsidRPr="00C92CF7" w:rsidRDefault="00C92CF7" w:rsidP="00C92CF7">
            <w:pPr>
              <w:jc w:val="center"/>
              <w:rPr>
                <w:rFonts w:ascii="Calibri" w:eastAsia="Times New Roman" w:hAnsi="Calibri" w:cs="Calibri"/>
                <w:b/>
                <w:bCs/>
                <w:color w:val="FFFFFF"/>
              </w:rPr>
            </w:pPr>
            <w:r w:rsidRPr="00C92CF7">
              <w:rPr>
                <w:rFonts w:ascii="Calibri" w:eastAsia="Times New Roman" w:hAnsi="Calibri" w:cs="Calibri"/>
                <w:b/>
                <w:bCs/>
                <w:color w:val="FFFFFF"/>
              </w:rPr>
              <w:t> </w:t>
            </w:r>
          </w:p>
        </w:tc>
        <w:tc>
          <w:tcPr>
            <w:tcW w:w="618" w:type="dxa"/>
            <w:tcBorders>
              <w:top w:val="nil"/>
              <w:left w:val="nil"/>
              <w:bottom w:val="nil"/>
              <w:right w:val="nil"/>
            </w:tcBorders>
            <w:shd w:val="clear" w:color="000000" w:fill="70AD47"/>
            <w:noWrap/>
            <w:vAlign w:val="bottom"/>
            <w:hideMark/>
          </w:tcPr>
          <w:p w:rsidR="00C92CF7" w:rsidRPr="00C92CF7" w:rsidRDefault="00C92CF7" w:rsidP="00C92CF7">
            <w:pPr>
              <w:jc w:val="center"/>
              <w:rPr>
                <w:rFonts w:ascii="Calibri" w:eastAsia="Times New Roman" w:hAnsi="Calibri" w:cs="Calibri"/>
                <w:b/>
                <w:bCs/>
                <w:color w:val="FFFFFF"/>
              </w:rPr>
            </w:pPr>
            <w:r w:rsidRPr="00C92CF7">
              <w:rPr>
                <w:rFonts w:ascii="Calibri" w:eastAsia="Times New Roman" w:hAnsi="Calibri" w:cs="Calibri"/>
                <w:b/>
                <w:bCs/>
                <w:color w:val="FFFFFF"/>
              </w:rPr>
              <w:t> </w:t>
            </w:r>
          </w:p>
        </w:tc>
        <w:tc>
          <w:tcPr>
            <w:tcW w:w="758" w:type="dxa"/>
            <w:tcBorders>
              <w:top w:val="nil"/>
              <w:left w:val="nil"/>
              <w:bottom w:val="nil"/>
              <w:right w:val="nil"/>
            </w:tcBorders>
            <w:shd w:val="clear" w:color="000000" w:fill="70AD47"/>
            <w:noWrap/>
            <w:vAlign w:val="bottom"/>
            <w:hideMark/>
          </w:tcPr>
          <w:p w:rsidR="00C92CF7" w:rsidRPr="00C92CF7" w:rsidRDefault="00C92CF7" w:rsidP="00C92CF7">
            <w:pPr>
              <w:jc w:val="center"/>
              <w:rPr>
                <w:rFonts w:ascii="Calibri" w:eastAsia="Times New Roman" w:hAnsi="Calibri" w:cs="Calibri"/>
                <w:b/>
                <w:bCs/>
                <w:color w:val="FFFFFF"/>
              </w:rPr>
            </w:pPr>
            <w:r w:rsidRPr="00C92CF7">
              <w:rPr>
                <w:rFonts w:ascii="Calibri" w:eastAsia="Times New Roman" w:hAnsi="Calibri" w:cs="Calibri"/>
                <w:b/>
                <w:bCs/>
                <w:color w:val="FFFFFF"/>
              </w:rPr>
              <w:t> </w:t>
            </w:r>
          </w:p>
        </w:tc>
        <w:tc>
          <w:tcPr>
            <w:tcW w:w="1120" w:type="dxa"/>
            <w:tcBorders>
              <w:top w:val="nil"/>
              <w:left w:val="nil"/>
              <w:bottom w:val="nil"/>
              <w:right w:val="nil"/>
            </w:tcBorders>
            <w:shd w:val="clear" w:color="000000" w:fill="70AD47"/>
            <w:noWrap/>
            <w:vAlign w:val="bottom"/>
            <w:hideMark/>
          </w:tcPr>
          <w:p w:rsidR="00C92CF7" w:rsidRPr="00C92CF7" w:rsidRDefault="00C92CF7" w:rsidP="00C92CF7">
            <w:pPr>
              <w:jc w:val="center"/>
              <w:rPr>
                <w:rFonts w:ascii="Calibri" w:eastAsia="Times New Roman" w:hAnsi="Calibri" w:cs="Calibri"/>
                <w:b/>
                <w:bCs/>
                <w:color w:val="FFFFFF"/>
              </w:rPr>
            </w:pPr>
            <w:r w:rsidRPr="00C92CF7">
              <w:rPr>
                <w:rFonts w:ascii="Calibri" w:eastAsia="Times New Roman" w:hAnsi="Calibri" w:cs="Calibri"/>
                <w:b/>
                <w:bCs/>
                <w:color w:val="FFFFFF"/>
              </w:rPr>
              <w:t> </w:t>
            </w:r>
          </w:p>
        </w:tc>
        <w:tc>
          <w:tcPr>
            <w:tcW w:w="1362" w:type="dxa"/>
            <w:tcBorders>
              <w:top w:val="nil"/>
              <w:left w:val="nil"/>
              <w:bottom w:val="nil"/>
              <w:right w:val="nil"/>
            </w:tcBorders>
            <w:shd w:val="clear" w:color="000000" w:fill="70AD47"/>
            <w:noWrap/>
            <w:vAlign w:val="bottom"/>
            <w:hideMark/>
          </w:tcPr>
          <w:p w:rsidR="00C92CF7" w:rsidRPr="00C92CF7" w:rsidRDefault="00C92CF7" w:rsidP="00C92CF7">
            <w:pPr>
              <w:jc w:val="center"/>
              <w:rPr>
                <w:rFonts w:ascii="Calibri" w:eastAsia="Times New Roman" w:hAnsi="Calibri" w:cs="Calibri"/>
                <w:b/>
                <w:bCs/>
                <w:color w:val="FFFFFF"/>
              </w:rPr>
            </w:pPr>
            <w:r w:rsidRPr="00C92CF7">
              <w:rPr>
                <w:rFonts w:ascii="Calibri" w:eastAsia="Times New Roman" w:hAnsi="Calibri" w:cs="Calibri"/>
                <w:b/>
                <w:bCs/>
                <w:color w:val="FFFFFF"/>
              </w:rPr>
              <w:t> </w:t>
            </w:r>
          </w:p>
        </w:tc>
        <w:tc>
          <w:tcPr>
            <w:tcW w:w="1243" w:type="dxa"/>
            <w:tcBorders>
              <w:top w:val="nil"/>
              <w:left w:val="nil"/>
              <w:bottom w:val="nil"/>
              <w:right w:val="nil"/>
            </w:tcBorders>
            <w:shd w:val="clear" w:color="000000" w:fill="70AD47"/>
            <w:noWrap/>
            <w:vAlign w:val="bottom"/>
            <w:hideMark/>
          </w:tcPr>
          <w:p w:rsidR="00C92CF7" w:rsidRPr="00C92CF7" w:rsidRDefault="00C92CF7" w:rsidP="00C92CF7">
            <w:pPr>
              <w:rPr>
                <w:rFonts w:ascii="Calibri" w:eastAsia="Times New Roman" w:hAnsi="Calibri" w:cs="Calibri"/>
                <w:b/>
                <w:bCs/>
                <w:color w:val="FFFFFF"/>
              </w:rPr>
            </w:pPr>
            <w:r w:rsidRPr="00C92CF7">
              <w:rPr>
                <w:rFonts w:ascii="Calibri" w:eastAsia="Times New Roman" w:hAnsi="Calibri" w:cs="Calibri"/>
                <w:b/>
                <w:bCs/>
                <w:color w:val="FFFFFF"/>
              </w:rPr>
              <w:t> </w:t>
            </w:r>
          </w:p>
        </w:tc>
        <w:tc>
          <w:tcPr>
            <w:tcW w:w="3887" w:type="dxa"/>
            <w:tcBorders>
              <w:top w:val="nil"/>
              <w:left w:val="nil"/>
              <w:bottom w:val="nil"/>
              <w:right w:val="single" w:sz="8" w:space="0" w:color="70AD47"/>
            </w:tcBorders>
            <w:shd w:val="clear" w:color="000000" w:fill="70AD47"/>
            <w:noWrap/>
            <w:vAlign w:val="bottom"/>
            <w:hideMark/>
          </w:tcPr>
          <w:p w:rsidR="00C92CF7" w:rsidRPr="00C92CF7" w:rsidRDefault="00C92CF7" w:rsidP="00C92CF7">
            <w:pPr>
              <w:rPr>
                <w:rFonts w:ascii="Calibri" w:eastAsia="Times New Roman" w:hAnsi="Calibri" w:cs="Calibri"/>
                <w:b/>
                <w:bCs/>
                <w:color w:val="FFFFFF"/>
              </w:rPr>
            </w:pPr>
            <w:r w:rsidRPr="00C92CF7">
              <w:rPr>
                <w:rFonts w:ascii="Calibri" w:eastAsia="Times New Roman" w:hAnsi="Calibri" w:cs="Calibri"/>
                <w:b/>
                <w:bCs/>
                <w:color w:val="FFFFFF"/>
              </w:rPr>
              <w:t> </w:t>
            </w:r>
          </w:p>
        </w:tc>
      </w:tr>
      <w:tr w:rsidR="00C92CF7" w:rsidRPr="00C92CF7" w:rsidTr="006B603E">
        <w:trPr>
          <w:trHeight w:val="578"/>
        </w:trPr>
        <w:tc>
          <w:tcPr>
            <w:tcW w:w="4040" w:type="dxa"/>
            <w:tcBorders>
              <w:top w:val="nil"/>
              <w:left w:val="single" w:sz="8" w:space="0" w:color="70AD47"/>
              <w:bottom w:val="nil"/>
              <w:right w:val="nil"/>
            </w:tcBorders>
            <w:shd w:val="clear" w:color="000000" w:fill="70AD47"/>
            <w:noWrap/>
            <w:vAlign w:val="center"/>
            <w:hideMark/>
          </w:tcPr>
          <w:p w:rsidR="00C92CF7" w:rsidRPr="00C92CF7" w:rsidRDefault="00C92CF7" w:rsidP="00C92CF7">
            <w:pPr>
              <w:rPr>
                <w:rFonts w:ascii="Calibri" w:eastAsia="Times New Roman" w:hAnsi="Calibri" w:cs="Calibri"/>
                <w:b/>
                <w:bCs/>
                <w:color w:val="FFFFFF"/>
              </w:rPr>
            </w:pPr>
            <w:r w:rsidRPr="00C92CF7">
              <w:rPr>
                <w:rFonts w:ascii="Calibri" w:eastAsia="Times New Roman" w:hAnsi="Calibri" w:cs="Calibri"/>
                <w:b/>
                <w:bCs/>
                <w:color w:val="FFFFFF"/>
              </w:rPr>
              <w:t>SUBSTANCES (UNIT)</w:t>
            </w:r>
          </w:p>
        </w:tc>
        <w:tc>
          <w:tcPr>
            <w:tcW w:w="1182" w:type="dxa"/>
            <w:tcBorders>
              <w:top w:val="nil"/>
              <w:left w:val="nil"/>
              <w:bottom w:val="nil"/>
              <w:right w:val="nil"/>
            </w:tcBorders>
            <w:shd w:val="clear" w:color="000000" w:fill="70AD47"/>
            <w:vAlign w:val="bottom"/>
            <w:hideMark/>
          </w:tcPr>
          <w:p w:rsidR="00C92CF7" w:rsidRPr="00C92CF7" w:rsidRDefault="00C92CF7" w:rsidP="00C92CF7">
            <w:pPr>
              <w:jc w:val="center"/>
              <w:rPr>
                <w:rFonts w:ascii="Calibri" w:eastAsia="Times New Roman" w:hAnsi="Calibri" w:cs="Calibri"/>
                <w:b/>
                <w:bCs/>
                <w:color w:val="FFFFFF"/>
              </w:rPr>
            </w:pPr>
            <w:r w:rsidRPr="00C92CF7">
              <w:rPr>
                <w:rFonts w:ascii="Calibri" w:eastAsia="Times New Roman" w:hAnsi="Calibri" w:cs="Calibri"/>
                <w:b/>
                <w:bCs/>
                <w:color w:val="FFFFFF"/>
              </w:rPr>
              <w:t>YEAR SAMPLED</w:t>
            </w:r>
          </w:p>
        </w:tc>
        <w:tc>
          <w:tcPr>
            <w:tcW w:w="618" w:type="dxa"/>
            <w:tcBorders>
              <w:top w:val="nil"/>
              <w:left w:val="nil"/>
              <w:bottom w:val="nil"/>
              <w:right w:val="nil"/>
            </w:tcBorders>
            <w:shd w:val="clear" w:color="000000" w:fill="70AD47"/>
            <w:noWrap/>
            <w:vAlign w:val="center"/>
            <w:hideMark/>
          </w:tcPr>
          <w:p w:rsidR="00C92CF7" w:rsidRPr="00C92CF7" w:rsidRDefault="00C92CF7" w:rsidP="00C92CF7">
            <w:pPr>
              <w:jc w:val="center"/>
              <w:rPr>
                <w:rFonts w:ascii="Calibri" w:eastAsia="Times New Roman" w:hAnsi="Calibri" w:cs="Calibri"/>
                <w:b/>
                <w:bCs/>
                <w:color w:val="FFFFFF"/>
              </w:rPr>
            </w:pPr>
            <w:r w:rsidRPr="00C92CF7">
              <w:rPr>
                <w:rFonts w:ascii="Calibri" w:eastAsia="Times New Roman" w:hAnsi="Calibri" w:cs="Calibri"/>
                <w:b/>
                <w:bCs/>
                <w:color w:val="FFFFFF"/>
              </w:rPr>
              <w:t>MCL</w:t>
            </w:r>
          </w:p>
        </w:tc>
        <w:tc>
          <w:tcPr>
            <w:tcW w:w="758" w:type="dxa"/>
            <w:tcBorders>
              <w:top w:val="nil"/>
              <w:left w:val="nil"/>
              <w:bottom w:val="nil"/>
              <w:right w:val="nil"/>
            </w:tcBorders>
            <w:shd w:val="clear" w:color="000000" w:fill="70AD47"/>
            <w:noWrap/>
            <w:vAlign w:val="center"/>
            <w:hideMark/>
          </w:tcPr>
          <w:p w:rsidR="00C92CF7" w:rsidRPr="00C92CF7" w:rsidRDefault="00C92CF7" w:rsidP="00C92CF7">
            <w:pPr>
              <w:jc w:val="center"/>
              <w:rPr>
                <w:rFonts w:ascii="Calibri" w:eastAsia="Times New Roman" w:hAnsi="Calibri" w:cs="Calibri"/>
                <w:b/>
                <w:bCs/>
                <w:color w:val="FFFFFF"/>
              </w:rPr>
            </w:pPr>
            <w:r w:rsidRPr="00C92CF7">
              <w:rPr>
                <w:rFonts w:ascii="Calibri" w:eastAsia="Times New Roman" w:hAnsi="Calibri" w:cs="Calibri"/>
                <w:b/>
                <w:bCs/>
                <w:color w:val="FFFFFF"/>
              </w:rPr>
              <w:t>MCLG</w:t>
            </w:r>
          </w:p>
        </w:tc>
        <w:tc>
          <w:tcPr>
            <w:tcW w:w="1120" w:type="dxa"/>
            <w:tcBorders>
              <w:top w:val="nil"/>
              <w:left w:val="nil"/>
              <w:bottom w:val="nil"/>
              <w:right w:val="nil"/>
            </w:tcBorders>
            <w:shd w:val="clear" w:color="000000" w:fill="70AD47"/>
            <w:noWrap/>
            <w:vAlign w:val="center"/>
            <w:hideMark/>
          </w:tcPr>
          <w:p w:rsidR="00C92CF7" w:rsidRPr="00C92CF7" w:rsidRDefault="00C92CF7" w:rsidP="00C92CF7">
            <w:pPr>
              <w:jc w:val="center"/>
              <w:rPr>
                <w:rFonts w:ascii="Calibri" w:eastAsia="Times New Roman" w:hAnsi="Calibri" w:cs="Calibri"/>
                <w:b/>
                <w:bCs/>
                <w:color w:val="FFFFFF"/>
              </w:rPr>
            </w:pPr>
            <w:r w:rsidRPr="00C92CF7">
              <w:rPr>
                <w:rFonts w:ascii="Calibri" w:eastAsia="Times New Roman" w:hAnsi="Calibri" w:cs="Calibri"/>
                <w:b/>
                <w:bCs/>
                <w:color w:val="FFFFFF"/>
              </w:rPr>
              <w:t>RESULTS</w:t>
            </w:r>
          </w:p>
        </w:tc>
        <w:tc>
          <w:tcPr>
            <w:tcW w:w="1362" w:type="dxa"/>
            <w:tcBorders>
              <w:top w:val="nil"/>
              <w:left w:val="nil"/>
              <w:bottom w:val="nil"/>
              <w:right w:val="nil"/>
            </w:tcBorders>
            <w:shd w:val="clear" w:color="000000" w:fill="70AD47"/>
            <w:noWrap/>
            <w:vAlign w:val="center"/>
            <w:hideMark/>
          </w:tcPr>
          <w:p w:rsidR="00C92CF7" w:rsidRPr="00C92CF7" w:rsidRDefault="00C92CF7" w:rsidP="00C92CF7">
            <w:pPr>
              <w:jc w:val="center"/>
              <w:rPr>
                <w:rFonts w:ascii="Calibri" w:eastAsia="Times New Roman" w:hAnsi="Calibri" w:cs="Calibri"/>
                <w:b/>
                <w:bCs/>
                <w:color w:val="FFFFFF"/>
              </w:rPr>
            </w:pPr>
            <w:r w:rsidRPr="00C92CF7">
              <w:rPr>
                <w:rFonts w:ascii="Calibri" w:eastAsia="Times New Roman" w:hAnsi="Calibri" w:cs="Calibri"/>
                <w:b/>
                <w:bCs/>
                <w:color w:val="FFFFFF"/>
              </w:rPr>
              <w:t>RANGE</w:t>
            </w:r>
          </w:p>
        </w:tc>
        <w:tc>
          <w:tcPr>
            <w:tcW w:w="1243" w:type="dxa"/>
            <w:tcBorders>
              <w:top w:val="nil"/>
              <w:left w:val="nil"/>
              <w:bottom w:val="nil"/>
              <w:right w:val="nil"/>
            </w:tcBorders>
            <w:shd w:val="clear" w:color="000000" w:fill="70AD47"/>
            <w:noWrap/>
            <w:vAlign w:val="center"/>
            <w:hideMark/>
          </w:tcPr>
          <w:p w:rsidR="00C92CF7" w:rsidRPr="00C92CF7" w:rsidRDefault="00C92CF7" w:rsidP="00C92CF7">
            <w:pPr>
              <w:jc w:val="center"/>
              <w:rPr>
                <w:rFonts w:ascii="Calibri" w:eastAsia="Times New Roman" w:hAnsi="Calibri" w:cs="Calibri"/>
                <w:b/>
                <w:bCs/>
                <w:color w:val="FFFFFF"/>
                <w:sz w:val="20"/>
                <w:szCs w:val="20"/>
              </w:rPr>
            </w:pPr>
            <w:r w:rsidRPr="00C92CF7">
              <w:rPr>
                <w:rFonts w:ascii="Calibri" w:eastAsia="Times New Roman" w:hAnsi="Calibri" w:cs="Calibri"/>
                <w:b/>
                <w:bCs/>
                <w:color w:val="FFFFFF"/>
                <w:sz w:val="20"/>
                <w:szCs w:val="20"/>
              </w:rPr>
              <w:t>VIOLATIONS</w:t>
            </w:r>
          </w:p>
        </w:tc>
        <w:tc>
          <w:tcPr>
            <w:tcW w:w="3887" w:type="dxa"/>
            <w:tcBorders>
              <w:top w:val="nil"/>
              <w:left w:val="nil"/>
              <w:bottom w:val="nil"/>
              <w:right w:val="single" w:sz="8" w:space="0" w:color="70AD47"/>
            </w:tcBorders>
            <w:shd w:val="clear" w:color="000000" w:fill="70AD47"/>
            <w:noWrap/>
            <w:vAlign w:val="center"/>
            <w:hideMark/>
          </w:tcPr>
          <w:p w:rsidR="00C92CF7" w:rsidRPr="00C92CF7" w:rsidRDefault="00C92CF7" w:rsidP="00C92CF7">
            <w:pPr>
              <w:rPr>
                <w:rFonts w:ascii="Calibri" w:eastAsia="Times New Roman" w:hAnsi="Calibri" w:cs="Calibri"/>
                <w:b/>
                <w:bCs/>
                <w:color w:val="FFFFFF"/>
              </w:rPr>
            </w:pPr>
            <w:r w:rsidRPr="00C92CF7">
              <w:rPr>
                <w:rFonts w:ascii="Calibri" w:eastAsia="Times New Roman" w:hAnsi="Calibri" w:cs="Calibri"/>
                <w:b/>
                <w:bCs/>
                <w:color w:val="FFFFFF"/>
              </w:rPr>
              <w:t>TYPICAL SOURCE</w:t>
            </w:r>
          </w:p>
        </w:tc>
      </w:tr>
      <w:tr w:rsidR="006B603E" w:rsidRPr="00C92CF7" w:rsidTr="006B603E">
        <w:trPr>
          <w:trHeight w:val="293"/>
        </w:trPr>
        <w:tc>
          <w:tcPr>
            <w:tcW w:w="4040" w:type="dxa"/>
            <w:tcBorders>
              <w:top w:val="single" w:sz="8" w:space="0" w:color="70AD47"/>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Sodium (ppm)</w:t>
            </w:r>
          </w:p>
        </w:tc>
        <w:tc>
          <w:tcPr>
            <w:tcW w:w="1182" w:type="dxa"/>
            <w:tcBorders>
              <w:top w:val="single" w:sz="8" w:space="0" w:color="70AD47"/>
              <w:left w:val="nil"/>
              <w:bottom w:val="single" w:sz="8" w:space="0" w:color="70AD47"/>
              <w:right w:val="nil"/>
            </w:tcBorders>
            <w:shd w:val="clear" w:color="auto" w:fill="auto"/>
            <w:vAlign w:val="bottom"/>
            <w:hideMark/>
          </w:tcPr>
          <w:p w:rsidR="00C92CF7" w:rsidRPr="00C92CF7" w:rsidRDefault="004250AE" w:rsidP="00C92CF7">
            <w:pPr>
              <w:jc w:val="center"/>
              <w:rPr>
                <w:rFonts w:ascii="Calibri" w:eastAsia="Times New Roman" w:hAnsi="Calibri" w:cs="Calibri"/>
                <w:color w:val="000000"/>
              </w:rPr>
            </w:pPr>
            <w:r>
              <w:rPr>
                <w:rFonts w:ascii="Calibri" w:eastAsia="Times New Roman" w:hAnsi="Calibri" w:cs="Calibri"/>
                <w:color w:val="000000"/>
              </w:rPr>
              <w:t>2021</w:t>
            </w:r>
          </w:p>
        </w:tc>
        <w:tc>
          <w:tcPr>
            <w:tcW w:w="618" w:type="dxa"/>
            <w:tcBorders>
              <w:top w:val="single" w:sz="8" w:space="0" w:color="70AD47"/>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758" w:type="dxa"/>
            <w:tcBorders>
              <w:top w:val="single" w:sz="8" w:space="0" w:color="70AD47"/>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single" w:sz="8" w:space="0" w:color="70AD47"/>
              <w:left w:val="nil"/>
              <w:bottom w:val="single" w:sz="8" w:space="0" w:color="70AD47"/>
              <w:right w:val="single" w:sz="8" w:space="0" w:color="70AD47"/>
            </w:tcBorders>
            <w:shd w:val="clear" w:color="auto" w:fill="auto"/>
            <w:noWrap/>
            <w:vAlign w:val="bottom"/>
            <w:hideMark/>
          </w:tcPr>
          <w:p w:rsidR="00C92CF7" w:rsidRPr="00C92CF7" w:rsidRDefault="00D1051C" w:rsidP="00C92CF7">
            <w:pPr>
              <w:jc w:val="center"/>
              <w:rPr>
                <w:rFonts w:ascii="Calibri" w:eastAsia="Times New Roman" w:hAnsi="Calibri" w:cs="Calibri"/>
                <w:color w:val="000000"/>
              </w:rPr>
            </w:pPr>
            <w:r>
              <w:rPr>
                <w:rFonts w:ascii="Calibri" w:eastAsia="Times New Roman" w:hAnsi="Calibri" w:cs="Calibri"/>
                <w:color w:val="000000"/>
              </w:rPr>
              <w:t>17.6</w:t>
            </w:r>
          </w:p>
        </w:tc>
        <w:tc>
          <w:tcPr>
            <w:tcW w:w="1362" w:type="dxa"/>
            <w:tcBorders>
              <w:top w:val="single" w:sz="8" w:space="0" w:color="70AD47"/>
              <w:left w:val="nil"/>
              <w:bottom w:val="single" w:sz="8" w:space="0" w:color="70AD47"/>
              <w:right w:val="single" w:sz="8" w:space="0" w:color="70AD47"/>
            </w:tcBorders>
            <w:shd w:val="clear" w:color="auto" w:fill="auto"/>
            <w:noWrap/>
            <w:vAlign w:val="bottom"/>
            <w:hideMark/>
          </w:tcPr>
          <w:p w:rsidR="00C92CF7" w:rsidRPr="00C92CF7" w:rsidRDefault="00D1051C" w:rsidP="00D1051C">
            <w:pPr>
              <w:jc w:val="center"/>
              <w:rPr>
                <w:rFonts w:ascii="Calibri" w:eastAsia="Times New Roman" w:hAnsi="Calibri" w:cs="Calibri"/>
                <w:color w:val="000000"/>
              </w:rPr>
            </w:pPr>
            <w:r>
              <w:rPr>
                <w:rFonts w:ascii="Calibri" w:eastAsia="Times New Roman" w:hAnsi="Calibri" w:cs="Calibri"/>
                <w:color w:val="000000"/>
              </w:rPr>
              <w:t>15 - 20.2</w:t>
            </w:r>
          </w:p>
        </w:tc>
        <w:tc>
          <w:tcPr>
            <w:tcW w:w="1243" w:type="dxa"/>
            <w:tcBorders>
              <w:top w:val="single" w:sz="8" w:space="0" w:color="70AD47"/>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single" w:sz="8" w:space="0" w:color="70AD47"/>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Erosion of natural deposit</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Molybdenum (ppb)</w:t>
            </w:r>
          </w:p>
        </w:tc>
        <w:tc>
          <w:tcPr>
            <w:tcW w:w="1182" w:type="dxa"/>
            <w:tcBorders>
              <w:top w:val="nil"/>
              <w:left w:val="nil"/>
              <w:bottom w:val="single" w:sz="8" w:space="0" w:color="70AD47"/>
              <w:right w:val="nil"/>
            </w:tcBorders>
            <w:shd w:val="clear" w:color="auto" w:fill="auto"/>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2016</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580</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528 - 690</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Strontium (ppb)</w:t>
            </w:r>
          </w:p>
        </w:tc>
        <w:tc>
          <w:tcPr>
            <w:tcW w:w="1182" w:type="dxa"/>
            <w:tcBorders>
              <w:top w:val="nil"/>
              <w:left w:val="nil"/>
              <w:bottom w:val="single" w:sz="8" w:space="0" w:color="70AD47"/>
              <w:right w:val="nil"/>
            </w:tcBorders>
            <w:shd w:val="clear" w:color="auto" w:fill="auto"/>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2016</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0.23</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ND - 0.45</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1,4 Dioxane (ppb)</w:t>
            </w:r>
          </w:p>
        </w:tc>
        <w:tc>
          <w:tcPr>
            <w:tcW w:w="1182" w:type="dxa"/>
            <w:tcBorders>
              <w:top w:val="nil"/>
              <w:left w:val="nil"/>
              <w:bottom w:val="single" w:sz="8" w:space="0" w:color="70AD47"/>
              <w:right w:val="nil"/>
            </w:tcBorders>
            <w:shd w:val="clear" w:color="auto" w:fill="auto"/>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2016</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0.2</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ND - 0.80</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Bromide (ppb)</w:t>
            </w:r>
          </w:p>
        </w:tc>
        <w:tc>
          <w:tcPr>
            <w:tcW w:w="1182" w:type="dxa"/>
            <w:tcBorders>
              <w:top w:val="nil"/>
              <w:left w:val="nil"/>
              <w:bottom w:val="single" w:sz="8" w:space="0" w:color="70AD47"/>
              <w:right w:val="nil"/>
            </w:tcBorders>
            <w:shd w:val="clear" w:color="auto" w:fill="auto"/>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2016</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37.45</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32.1 - 42.9</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Manganese (ppb)</w:t>
            </w:r>
          </w:p>
        </w:tc>
        <w:tc>
          <w:tcPr>
            <w:tcW w:w="1182" w:type="dxa"/>
            <w:tcBorders>
              <w:top w:val="nil"/>
              <w:left w:val="nil"/>
              <w:bottom w:val="single" w:sz="8" w:space="0" w:color="70AD47"/>
              <w:right w:val="nil"/>
            </w:tcBorders>
            <w:shd w:val="clear" w:color="auto" w:fill="auto"/>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2018</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29.13</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13.1 - 38.8</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Haloacetic Acid (HAA6Br) (ppb)</w:t>
            </w:r>
          </w:p>
        </w:tc>
        <w:tc>
          <w:tcPr>
            <w:tcW w:w="1182" w:type="dxa"/>
            <w:tcBorders>
              <w:top w:val="nil"/>
              <w:left w:val="nil"/>
              <w:bottom w:val="single" w:sz="8" w:space="0" w:color="70AD47"/>
              <w:right w:val="nil"/>
            </w:tcBorders>
            <w:shd w:val="clear" w:color="auto" w:fill="auto"/>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2018</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5.37</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1.82 - 6.92</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Haloacetic Acid (HAA9) (ppb)</w:t>
            </w:r>
          </w:p>
        </w:tc>
        <w:tc>
          <w:tcPr>
            <w:tcW w:w="1182" w:type="dxa"/>
            <w:tcBorders>
              <w:top w:val="nil"/>
              <w:left w:val="nil"/>
              <w:bottom w:val="single" w:sz="8" w:space="0" w:color="70AD47"/>
              <w:right w:val="nil"/>
            </w:tcBorders>
            <w:shd w:val="clear" w:color="auto" w:fill="auto"/>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2018</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11.24</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2.49 - 13.59</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r>
      <w:tr w:rsidR="006B603E" w:rsidRPr="00C92CF7" w:rsidTr="006B603E">
        <w:trPr>
          <w:trHeight w:val="293"/>
        </w:trPr>
        <w:tc>
          <w:tcPr>
            <w:tcW w:w="4040" w:type="dxa"/>
            <w:tcBorders>
              <w:top w:val="nil"/>
              <w:left w:val="single" w:sz="8" w:space="0" w:color="70AD47"/>
              <w:bottom w:val="single" w:sz="8" w:space="0" w:color="70AD47"/>
              <w:right w:val="nil"/>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Total Organic Carbon (ppb)</w:t>
            </w:r>
          </w:p>
        </w:tc>
        <w:tc>
          <w:tcPr>
            <w:tcW w:w="1182" w:type="dxa"/>
            <w:tcBorders>
              <w:top w:val="nil"/>
              <w:left w:val="nil"/>
              <w:bottom w:val="single" w:sz="8" w:space="0" w:color="70AD47"/>
              <w:right w:val="nil"/>
            </w:tcBorders>
            <w:shd w:val="clear" w:color="auto" w:fill="auto"/>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2018</w:t>
            </w:r>
          </w:p>
        </w:tc>
        <w:tc>
          <w:tcPr>
            <w:tcW w:w="618" w:type="dxa"/>
            <w:tcBorders>
              <w:top w:val="nil"/>
              <w:left w:val="single" w:sz="8" w:space="0" w:color="70AD47"/>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758"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N/A</w:t>
            </w:r>
          </w:p>
        </w:tc>
        <w:tc>
          <w:tcPr>
            <w:tcW w:w="1120"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1250</w:t>
            </w:r>
          </w:p>
        </w:tc>
        <w:tc>
          <w:tcPr>
            <w:tcW w:w="1362"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jc w:val="center"/>
              <w:rPr>
                <w:rFonts w:ascii="Calibri" w:eastAsia="Times New Roman" w:hAnsi="Calibri" w:cs="Calibri"/>
                <w:color w:val="000000"/>
              </w:rPr>
            </w:pPr>
            <w:r w:rsidRPr="00C92CF7">
              <w:rPr>
                <w:rFonts w:ascii="Calibri" w:eastAsia="Times New Roman" w:hAnsi="Calibri" w:cs="Calibri"/>
                <w:color w:val="000000"/>
              </w:rPr>
              <w:t>1150 - 1360</w:t>
            </w:r>
          </w:p>
        </w:tc>
        <w:tc>
          <w:tcPr>
            <w:tcW w:w="1243"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c>
          <w:tcPr>
            <w:tcW w:w="3887" w:type="dxa"/>
            <w:tcBorders>
              <w:top w:val="nil"/>
              <w:left w:val="nil"/>
              <w:bottom w:val="single" w:sz="8" w:space="0" w:color="70AD47"/>
              <w:right w:val="single" w:sz="8" w:space="0" w:color="70AD47"/>
            </w:tcBorders>
            <w:shd w:val="clear" w:color="auto" w:fill="auto"/>
            <w:noWrap/>
            <w:vAlign w:val="bottom"/>
            <w:hideMark/>
          </w:tcPr>
          <w:p w:rsidR="00C92CF7" w:rsidRPr="00C92CF7" w:rsidRDefault="00C92CF7" w:rsidP="00C92CF7">
            <w:pPr>
              <w:rPr>
                <w:rFonts w:ascii="Calibri" w:eastAsia="Times New Roman" w:hAnsi="Calibri" w:cs="Calibri"/>
                <w:color w:val="000000"/>
              </w:rPr>
            </w:pPr>
            <w:r w:rsidRPr="00C92CF7">
              <w:rPr>
                <w:rFonts w:ascii="Calibri" w:eastAsia="Times New Roman" w:hAnsi="Calibri" w:cs="Calibri"/>
                <w:color w:val="000000"/>
              </w:rPr>
              <w:t> </w:t>
            </w:r>
          </w:p>
        </w:tc>
      </w:tr>
    </w:tbl>
    <w:p w:rsidR="002E466B" w:rsidRDefault="002E466B" w:rsidP="002E466B">
      <w:pPr>
        <w:rPr>
          <w:rFonts w:eastAsia="Times New Roman"/>
          <w:color w:val="000000"/>
          <w:spacing w:val="-2"/>
        </w:rPr>
      </w:pPr>
    </w:p>
    <w:p w:rsidR="00C92CF7" w:rsidRDefault="00C92CF7" w:rsidP="002E466B">
      <w:pPr>
        <w:rPr>
          <w:rFonts w:eastAsia="Times New Roman"/>
          <w:color w:val="000000"/>
          <w:spacing w:val="-2"/>
        </w:rPr>
      </w:pPr>
    </w:p>
    <w:p w:rsidR="00036528" w:rsidRDefault="00036528" w:rsidP="002E466B">
      <w:pPr>
        <w:rPr>
          <w:rFonts w:eastAsia="Times New Roman"/>
          <w:b/>
          <w:color w:val="70AD47" w:themeColor="accent6"/>
          <w:spacing w:val="-2"/>
        </w:rPr>
        <w:sectPr w:rsidR="00036528" w:rsidSect="00362686">
          <w:type w:val="continuous"/>
          <w:pgSz w:w="15840" w:h="24480" w:code="1"/>
          <w:pgMar w:top="720" w:right="720" w:bottom="720" w:left="720" w:header="720" w:footer="720" w:gutter="0"/>
          <w:cols w:space="720"/>
          <w:docGrid w:linePitch="360"/>
        </w:sectPr>
      </w:pPr>
    </w:p>
    <w:p w:rsidR="002E466B" w:rsidRPr="006B603E" w:rsidRDefault="002E466B" w:rsidP="002E466B">
      <w:pPr>
        <w:rPr>
          <w:rFonts w:eastAsia="Times New Roman"/>
          <w:b/>
          <w:i/>
          <w:color w:val="70AD47" w:themeColor="accent6"/>
          <w:spacing w:val="-2"/>
          <w:sz w:val="28"/>
        </w:rPr>
      </w:pPr>
      <w:r w:rsidRPr="006B603E">
        <w:rPr>
          <w:rFonts w:eastAsia="Times New Roman"/>
          <w:b/>
          <w:i/>
          <w:color w:val="70AD47" w:themeColor="accent6"/>
          <w:spacing w:val="-2"/>
          <w:sz w:val="28"/>
        </w:rPr>
        <w:lastRenderedPageBreak/>
        <w:t>DEFINITIONS</w:t>
      </w:r>
    </w:p>
    <w:p w:rsidR="002E466B" w:rsidRDefault="002E466B" w:rsidP="002E466B">
      <w:pPr>
        <w:rPr>
          <w:rFonts w:ascii="Calibri" w:hAnsi="Calibri"/>
          <w:color w:val="000000"/>
          <w:sz w:val="20"/>
          <w:szCs w:val="20"/>
        </w:rPr>
      </w:pPr>
      <w:r w:rsidRPr="00352489">
        <w:rPr>
          <w:b/>
          <w:color w:val="70AD47" w:themeColor="accent6"/>
          <w:sz w:val="20"/>
          <w:szCs w:val="20"/>
        </w:rPr>
        <w:t>ACTIONAL LEVEL (AL)</w:t>
      </w:r>
      <w:r>
        <w:rPr>
          <w:sz w:val="20"/>
          <w:szCs w:val="20"/>
        </w:rPr>
        <w:t xml:space="preserve"> -</w:t>
      </w:r>
      <w:r w:rsidRPr="002E466B">
        <w:rPr>
          <w:rFonts w:ascii="Calibri" w:hAnsi="Calibri"/>
          <w:color w:val="000000"/>
          <w:sz w:val="20"/>
          <w:szCs w:val="20"/>
        </w:rPr>
        <w:t xml:space="preserve"> </w:t>
      </w:r>
      <w:r w:rsidRPr="000441B7">
        <w:rPr>
          <w:rFonts w:ascii="Calibri" w:hAnsi="Calibri"/>
          <w:color w:val="000000"/>
          <w:sz w:val="20"/>
          <w:szCs w:val="20"/>
        </w:rPr>
        <w:t>The concentration of a contaminant which if exceeded, triggers treatment or other requirements, which a water system must follow.</w:t>
      </w:r>
    </w:p>
    <w:p w:rsidR="002E466B" w:rsidRDefault="002E466B" w:rsidP="002E466B">
      <w:pPr>
        <w:rPr>
          <w:rFonts w:ascii="Calibri" w:hAnsi="Calibri"/>
          <w:color w:val="000000"/>
          <w:sz w:val="20"/>
          <w:szCs w:val="20"/>
        </w:rPr>
      </w:pPr>
      <w:r w:rsidRPr="00352489">
        <w:rPr>
          <w:b/>
          <w:color w:val="70AD47" w:themeColor="accent6"/>
          <w:sz w:val="20"/>
          <w:szCs w:val="20"/>
        </w:rPr>
        <w:t>ACTION LEVEL GOAL (ALG)</w:t>
      </w:r>
      <w:r w:rsidRPr="00352489">
        <w:rPr>
          <w:color w:val="70AD47" w:themeColor="accent6"/>
          <w:sz w:val="20"/>
          <w:szCs w:val="20"/>
        </w:rPr>
        <w:t xml:space="preserve"> </w:t>
      </w:r>
      <w:r>
        <w:rPr>
          <w:sz w:val="20"/>
          <w:szCs w:val="20"/>
        </w:rPr>
        <w:t xml:space="preserve">- </w:t>
      </w:r>
      <w:r w:rsidRPr="000441B7">
        <w:rPr>
          <w:rFonts w:ascii="Calibri" w:hAnsi="Calibri"/>
          <w:color w:val="000000"/>
          <w:sz w:val="20"/>
          <w:szCs w:val="20"/>
        </w:rPr>
        <w:t>The level of a contaminant in drinking water below which is no expected risk to health. ALGs allow for a margin of safety.</w:t>
      </w:r>
    </w:p>
    <w:p w:rsidR="002E466B" w:rsidRDefault="00352489" w:rsidP="002E466B">
      <w:pPr>
        <w:rPr>
          <w:rFonts w:ascii="Calibri" w:hAnsi="Calibri"/>
          <w:color w:val="000000"/>
          <w:sz w:val="20"/>
          <w:szCs w:val="20"/>
        </w:rPr>
      </w:pPr>
      <w:r w:rsidRPr="00352489">
        <w:rPr>
          <w:b/>
          <w:color w:val="70AD47" w:themeColor="accent6"/>
          <w:sz w:val="20"/>
          <w:szCs w:val="20"/>
        </w:rPr>
        <w:t>AVG</w:t>
      </w:r>
      <w:r>
        <w:rPr>
          <w:sz w:val="20"/>
          <w:szCs w:val="20"/>
        </w:rPr>
        <w:t xml:space="preserve"> - </w:t>
      </w:r>
      <w:r w:rsidRPr="000441B7">
        <w:rPr>
          <w:rFonts w:ascii="Calibri" w:hAnsi="Calibri"/>
          <w:color w:val="000000"/>
          <w:sz w:val="20"/>
          <w:szCs w:val="20"/>
        </w:rPr>
        <w:t>Regulatory compliance with some MCLs are based on running annual average of monthly samples.</w:t>
      </w:r>
    </w:p>
    <w:p w:rsidR="00352489" w:rsidRDefault="00352489" w:rsidP="002E466B">
      <w:pPr>
        <w:rPr>
          <w:rFonts w:ascii="Calibri" w:hAnsi="Calibri"/>
          <w:color w:val="000000"/>
          <w:sz w:val="20"/>
          <w:szCs w:val="20"/>
        </w:rPr>
      </w:pPr>
      <w:r w:rsidRPr="00352489">
        <w:rPr>
          <w:b/>
          <w:color w:val="70AD47" w:themeColor="accent6"/>
          <w:sz w:val="20"/>
          <w:szCs w:val="20"/>
        </w:rPr>
        <w:t>MAXIMUM CONTAMINANT LEVEL (MCL)</w:t>
      </w:r>
      <w:r w:rsidRPr="00352489">
        <w:rPr>
          <w:color w:val="70AD47" w:themeColor="accent6"/>
          <w:sz w:val="20"/>
          <w:szCs w:val="20"/>
        </w:rPr>
        <w:t xml:space="preserve"> </w:t>
      </w:r>
      <w:r>
        <w:rPr>
          <w:sz w:val="20"/>
          <w:szCs w:val="20"/>
        </w:rPr>
        <w:t xml:space="preserve">- </w:t>
      </w:r>
      <w:r w:rsidRPr="000441B7">
        <w:rPr>
          <w:rFonts w:ascii="Calibri" w:hAnsi="Calibri"/>
          <w:color w:val="000000"/>
          <w:sz w:val="20"/>
          <w:szCs w:val="20"/>
        </w:rPr>
        <w:t xml:space="preserve">The highest level of a contaminant that is allowed in </w:t>
      </w:r>
      <w:r w:rsidRPr="000441B7">
        <w:rPr>
          <w:rFonts w:ascii="Calibri" w:hAnsi="Calibri"/>
          <w:color w:val="000000"/>
          <w:sz w:val="20"/>
          <w:szCs w:val="20"/>
        </w:rPr>
        <w:lastRenderedPageBreak/>
        <w:t>drinking water. MCLs are set as close to the MCLGs as feasible using the best available treatment technology.</w:t>
      </w:r>
    </w:p>
    <w:p w:rsidR="00352489" w:rsidRDefault="00352489" w:rsidP="002E466B">
      <w:pPr>
        <w:rPr>
          <w:rFonts w:ascii="Calibri" w:hAnsi="Calibri"/>
          <w:color w:val="000000"/>
          <w:sz w:val="20"/>
          <w:szCs w:val="20"/>
        </w:rPr>
      </w:pPr>
      <w:r w:rsidRPr="00352489">
        <w:rPr>
          <w:b/>
          <w:color w:val="70AD47" w:themeColor="accent6"/>
          <w:sz w:val="20"/>
          <w:szCs w:val="20"/>
        </w:rPr>
        <w:t>MAXIMUM CONTAMINANT LEVEL GOAL (MCLG)</w:t>
      </w:r>
      <w:r>
        <w:rPr>
          <w:sz w:val="20"/>
          <w:szCs w:val="20"/>
        </w:rPr>
        <w:t xml:space="preserve"> - </w:t>
      </w:r>
      <w:r w:rsidRPr="000441B7">
        <w:rPr>
          <w:rFonts w:ascii="Calibri" w:hAnsi="Calibri"/>
          <w:color w:val="000000"/>
          <w:sz w:val="20"/>
          <w:szCs w:val="20"/>
        </w:rPr>
        <w:t>The level of a contaminant in drinking water below which there is no known or expected risk to health. MCLGs allow for a margin of safety.</w:t>
      </w:r>
    </w:p>
    <w:p w:rsidR="00352489" w:rsidRDefault="00352489" w:rsidP="002E466B">
      <w:pPr>
        <w:rPr>
          <w:rFonts w:ascii="Calibri" w:hAnsi="Calibri"/>
          <w:color w:val="000000"/>
          <w:sz w:val="20"/>
          <w:szCs w:val="20"/>
        </w:rPr>
      </w:pPr>
      <w:r w:rsidRPr="00352489">
        <w:rPr>
          <w:b/>
          <w:color w:val="70AD47" w:themeColor="accent6"/>
          <w:sz w:val="20"/>
          <w:szCs w:val="20"/>
        </w:rPr>
        <w:t>VARIANCES AND</w:t>
      </w:r>
      <w:r w:rsidRPr="00352489">
        <w:rPr>
          <w:color w:val="70AD47" w:themeColor="accent6"/>
          <w:sz w:val="20"/>
          <w:szCs w:val="20"/>
        </w:rPr>
        <w:t xml:space="preserve"> </w:t>
      </w:r>
      <w:r w:rsidRPr="00352489">
        <w:rPr>
          <w:b/>
          <w:color w:val="70AD47" w:themeColor="accent6"/>
          <w:sz w:val="20"/>
          <w:szCs w:val="20"/>
        </w:rPr>
        <w:t>EXEMPTIONS</w:t>
      </w:r>
      <w:r>
        <w:rPr>
          <w:sz w:val="20"/>
          <w:szCs w:val="20"/>
        </w:rPr>
        <w:t xml:space="preserve"> - </w:t>
      </w:r>
      <w:r w:rsidRPr="000441B7">
        <w:rPr>
          <w:rFonts w:ascii="Calibri" w:hAnsi="Calibri"/>
          <w:color w:val="000000"/>
          <w:sz w:val="20"/>
          <w:szCs w:val="20"/>
        </w:rPr>
        <w:t>State or EPA permission not to meet an MCL or a treatment technique under certain conditions.</w:t>
      </w:r>
    </w:p>
    <w:p w:rsidR="00352489" w:rsidRDefault="00352489" w:rsidP="002E466B">
      <w:pPr>
        <w:rPr>
          <w:rFonts w:ascii="Calibri" w:hAnsi="Calibri"/>
          <w:color w:val="000000"/>
          <w:sz w:val="20"/>
          <w:szCs w:val="20"/>
        </w:rPr>
      </w:pPr>
      <w:r w:rsidRPr="00352489">
        <w:rPr>
          <w:b/>
          <w:color w:val="70AD47" w:themeColor="accent6"/>
          <w:sz w:val="20"/>
          <w:szCs w:val="20"/>
        </w:rPr>
        <w:t>Nd</w:t>
      </w:r>
      <w:r>
        <w:rPr>
          <w:sz w:val="20"/>
          <w:szCs w:val="20"/>
        </w:rPr>
        <w:t xml:space="preserve"> - </w:t>
      </w:r>
      <w:r w:rsidRPr="000441B7">
        <w:rPr>
          <w:rFonts w:ascii="Calibri" w:hAnsi="Calibri"/>
          <w:color w:val="000000"/>
          <w:sz w:val="20"/>
          <w:szCs w:val="20"/>
        </w:rPr>
        <w:t>No Detection</w:t>
      </w:r>
    </w:p>
    <w:p w:rsidR="00352489" w:rsidRDefault="00352489" w:rsidP="002E466B">
      <w:pPr>
        <w:rPr>
          <w:rFonts w:ascii="Calibri" w:hAnsi="Calibri"/>
          <w:color w:val="000000"/>
          <w:sz w:val="20"/>
          <w:szCs w:val="20"/>
        </w:rPr>
      </w:pPr>
      <w:r w:rsidRPr="00352489">
        <w:rPr>
          <w:b/>
          <w:color w:val="70AD47" w:themeColor="accent6"/>
          <w:sz w:val="20"/>
          <w:szCs w:val="20"/>
        </w:rPr>
        <w:t>ppm</w:t>
      </w:r>
      <w:r>
        <w:rPr>
          <w:sz w:val="20"/>
          <w:szCs w:val="20"/>
        </w:rPr>
        <w:t xml:space="preserve"> - </w:t>
      </w:r>
      <w:r w:rsidRPr="000441B7">
        <w:rPr>
          <w:rFonts w:ascii="Calibri" w:hAnsi="Calibri"/>
          <w:color w:val="000000"/>
          <w:sz w:val="20"/>
          <w:szCs w:val="20"/>
        </w:rPr>
        <w:t>Parts per million, or milligrams per liter (mg/l)</w:t>
      </w:r>
    </w:p>
    <w:p w:rsidR="00352489" w:rsidRDefault="00352489" w:rsidP="002E466B">
      <w:pPr>
        <w:rPr>
          <w:rFonts w:ascii="Calibri" w:hAnsi="Calibri"/>
          <w:color w:val="000000"/>
          <w:sz w:val="20"/>
          <w:szCs w:val="20"/>
        </w:rPr>
      </w:pPr>
      <w:r w:rsidRPr="00352489">
        <w:rPr>
          <w:b/>
          <w:color w:val="70AD47" w:themeColor="accent6"/>
          <w:sz w:val="20"/>
          <w:szCs w:val="20"/>
        </w:rPr>
        <w:t>ppb</w:t>
      </w:r>
      <w:r w:rsidRPr="00352489">
        <w:rPr>
          <w:color w:val="70AD47" w:themeColor="accent6"/>
          <w:sz w:val="20"/>
          <w:szCs w:val="20"/>
        </w:rPr>
        <w:t xml:space="preserve"> </w:t>
      </w:r>
      <w:r>
        <w:rPr>
          <w:sz w:val="20"/>
          <w:szCs w:val="20"/>
        </w:rPr>
        <w:t xml:space="preserve">- </w:t>
      </w:r>
      <w:r w:rsidRPr="000441B7">
        <w:rPr>
          <w:rFonts w:ascii="Calibri" w:hAnsi="Calibri"/>
          <w:color w:val="000000"/>
          <w:sz w:val="20"/>
          <w:szCs w:val="20"/>
        </w:rPr>
        <w:t>Parts per billion, or micrograms per liter (ug/l)</w:t>
      </w:r>
    </w:p>
    <w:p w:rsidR="00352489" w:rsidRDefault="00352489" w:rsidP="002E466B">
      <w:pPr>
        <w:rPr>
          <w:rFonts w:ascii="Calibri" w:hAnsi="Calibri"/>
          <w:color w:val="000000"/>
          <w:sz w:val="20"/>
          <w:szCs w:val="20"/>
        </w:rPr>
      </w:pPr>
      <w:r w:rsidRPr="00352489">
        <w:rPr>
          <w:b/>
          <w:color w:val="70AD47" w:themeColor="accent6"/>
          <w:sz w:val="20"/>
          <w:szCs w:val="20"/>
        </w:rPr>
        <w:lastRenderedPageBreak/>
        <w:t>pCi/l</w:t>
      </w:r>
      <w:r w:rsidRPr="00352489">
        <w:rPr>
          <w:color w:val="70AD47" w:themeColor="accent6"/>
          <w:sz w:val="20"/>
          <w:szCs w:val="20"/>
        </w:rPr>
        <w:t xml:space="preserve"> </w:t>
      </w:r>
      <w:r>
        <w:rPr>
          <w:sz w:val="20"/>
          <w:szCs w:val="20"/>
        </w:rPr>
        <w:t xml:space="preserve">- </w:t>
      </w:r>
      <w:r w:rsidRPr="000441B7">
        <w:rPr>
          <w:rFonts w:ascii="Calibri" w:hAnsi="Calibri"/>
          <w:color w:val="000000"/>
          <w:sz w:val="20"/>
          <w:szCs w:val="20"/>
        </w:rPr>
        <w:t>Picocuries per liter (a measure of radioactivity)</w:t>
      </w:r>
    </w:p>
    <w:p w:rsidR="00352489" w:rsidRDefault="006B603E" w:rsidP="002E466B">
      <w:pPr>
        <w:rPr>
          <w:rFonts w:ascii="Calibri" w:hAnsi="Calibri"/>
          <w:color w:val="000000"/>
          <w:sz w:val="20"/>
          <w:szCs w:val="20"/>
        </w:rPr>
      </w:pPr>
      <w:r w:rsidRPr="003F648E">
        <w:rPr>
          <w:rFonts w:eastAsia="Times New Roman"/>
          <w:noProof/>
          <w:color w:val="000000"/>
          <w:spacing w:val="-2"/>
        </w:rPr>
        <mc:AlternateContent>
          <mc:Choice Requires="wps">
            <w:drawing>
              <wp:anchor distT="0" distB="0" distL="457200" distR="114300" simplePos="0" relativeHeight="251660288" behindDoc="0" locked="0" layoutInCell="0" allowOverlap="1" wp14:anchorId="22E5F219" wp14:editId="6A85725C">
                <wp:simplePos x="0" y="0"/>
                <wp:positionH relativeFrom="margin">
                  <wp:align>right</wp:align>
                </wp:positionH>
                <wp:positionV relativeFrom="margin">
                  <wp:posOffset>6543675</wp:posOffset>
                </wp:positionV>
                <wp:extent cx="2391410" cy="7438390"/>
                <wp:effectExtent l="0" t="0" r="8890" b="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1410" cy="7438390"/>
                        </a:xfrm>
                        <a:prstGeom prst="rect">
                          <a:avLst/>
                        </a:prstGeom>
                        <a:solidFill>
                          <a:schemeClr val="tx2">
                            <a:lumMod val="20000"/>
                            <a:lumOff val="80000"/>
                            <a:alpha val="34902"/>
                          </a:schemeClr>
                        </a:solidFill>
                        <a:extLst/>
                      </wps:spPr>
                      <wps:txbx>
                        <w:txbxContent>
                          <w:p w:rsidR="003F648E" w:rsidRDefault="003F648E">
                            <w:pPr>
                              <w:spacing w:before="480" w:after="240"/>
                              <w:rPr>
                                <w:b/>
                                <w:bCs/>
                                <w:color w:val="323E4F" w:themeColor="text2" w:themeShade="BF"/>
                                <w:sz w:val="28"/>
                                <w:szCs w:val="28"/>
                              </w:rPr>
                            </w:pPr>
                            <w:r w:rsidRPr="002E466B">
                              <w:rPr>
                                <w:b/>
                                <w:bCs/>
                                <w:color w:val="70AD47" w:themeColor="accent6"/>
                                <w:sz w:val="28"/>
                                <w:szCs w:val="28"/>
                              </w:rPr>
                              <w:t>DETECTED</w:t>
                            </w:r>
                            <w:r>
                              <w:rPr>
                                <w:b/>
                                <w:bCs/>
                                <w:color w:val="323E4F" w:themeColor="text2" w:themeShade="BF"/>
                                <w:sz w:val="28"/>
                                <w:szCs w:val="28"/>
                              </w:rPr>
                              <w:t xml:space="preserve"> </w:t>
                            </w:r>
                            <w:r w:rsidRPr="002E466B">
                              <w:rPr>
                                <w:b/>
                                <w:bCs/>
                                <w:color w:val="70AD47" w:themeColor="accent6"/>
                                <w:sz w:val="28"/>
                                <w:szCs w:val="28"/>
                              </w:rPr>
                              <w:t>CONTAMINANTS</w:t>
                            </w:r>
                          </w:p>
                          <w:p w:rsidR="002E466B" w:rsidRPr="005B57F8" w:rsidRDefault="002E466B" w:rsidP="002E466B">
                            <w:pPr>
                              <w:rPr>
                                <w:rFonts w:ascii="Calibri" w:eastAsia="Times New Roman" w:hAnsi="Calibri" w:cs="Times New Roman"/>
                                <w:color w:val="000000"/>
                                <w:sz w:val="20"/>
                                <w:szCs w:val="20"/>
                              </w:rPr>
                            </w:pPr>
                            <w:r w:rsidRPr="002E4234">
                              <w:rPr>
                                <w:rFonts w:ascii="Calibri" w:eastAsia="Times New Roman" w:hAnsi="Calibri" w:cs="Times New Roman"/>
                                <w:color w:val="000000"/>
                                <w:sz w:val="20"/>
                                <w:szCs w:val="20"/>
                              </w:rPr>
                              <w:t xml:space="preserve">A detected contaminant is any contaminant detected at or above its minimum detection </w:t>
                            </w:r>
                            <w:r w:rsidRPr="005B57F8">
                              <w:rPr>
                                <w:rFonts w:ascii="Calibri" w:eastAsia="Times New Roman" w:hAnsi="Calibri" w:cs="Times New Roman"/>
                                <w:color w:val="000000"/>
                                <w:sz w:val="20"/>
                                <w:szCs w:val="20"/>
                              </w:rPr>
                              <w:t>limit (MDL). The State allows us to monitor for some contaminants less than once per year because concentrations of these contaminants do not change frequently. Some of our data, though representative, is more than one year old.</w:t>
                            </w:r>
                          </w:p>
                          <w:p w:rsidR="002E466B" w:rsidRPr="005B57F8" w:rsidRDefault="002E466B" w:rsidP="002E466B">
                            <w:pPr>
                              <w:rPr>
                                <w:rFonts w:ascii="Calibri" w:eastAsia="Times New Roman" w:hAnsi="Calibri" w:cs="Times New Roman"/>
                                <w:color w:val="000000"/>
                                <w:sz w:val="20"/>
                                <w:szCs w:val="20"/>
                              </w:rPr>
                            </w:pPr>
                            <w:r w:rsidRPr="002E4234">
                              <w:rPr>
                                <w:rFonts w:ascii="Calibri" w:eastAsia="Times New Roman" w:hAnsi="Calibri" w:cs="Times New Roman"/>
                                <w:color w:val="000000"/>
                                <w:sz w:val="20"/>
                                <w:szCs w:val="20"/>
                              </w:rPr>
                              <w:t xml:space="preserve">If present, elevated levels of lead can cause serious health problems, especially for pregnant </w:t>
                            </w:r>
                            <w:r w:rsidRPr="005B57F8">
                              <w:rPr>
                                <w:rFonts w:ascii="Calibri" w:eastAsia="Times New Roman" w:hAnsi="Calibri" w:cs="Times New Roman"/>
                                <w:color w:val="000000"/>
                                <w:sz w:val="20"/>
                                <w:szCs w:val="20"/>
                              </w:rPr>
                              <w:t xml:space="preserve">women and young children. Lead in drinking water is primarily from materials and components associated with service lines and home plumbing. The Greenfield Water Utility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5B57F8">
                              <w:rPr>
                                <w:rFonts w:ascii="Calibri" w:eastAsia="Times New Roman" w:hAnsi="Calibri" w:cs="Times New Roman"/>
                                <w:b/>
                                <w:bCs/>
                                <w:color w:val="16365C"/>
                                <w:sz w:val="20"/>
                                <w:szCs w:val="20"/>
                              </w:rPr>
                              <w:t>http://www.epa.gov/safewater/lead</w:t>
                            </w:r>
                            <w:r w:rsidRPr="005B57F8">
                              <w:rPr>
                                <w:rFonts w:ascii="Calibri" w:eastAsia="Times New Roman" w:hAnsi="Calibri" w:cs="Times New Roman"/>
                                <w:color w:val="000000"/>
                                <w:sz w:val="20"/>
                                <w:szCs w:val="20"/>
                              </w:rPr>
                              <w:t>.</w:t>
                            </w:r>
                          </w:p>
                          <w:p w:rsidR="003F648E" w:rsidRDefault="003F648E" w:rsidP="002E466B">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2E5F219" id="AutoShape 14" o:spid="_x0000_s1026" style="position:absolute;margin-left:137.1pt;margin-top:515.25pt;width:188.3pt;height:585.7pt;z-index:251660288;visibility:visible;mso-wrap-style:square;mso-width-percent:0;mso-height-percent:0;mso-wrap-distance-left:36pt;mso-wrap-distance-top:0;mso-wrap-distance-right:9pt;mso-wrap-distance-bottom:0;mso-position-horizontal:righ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" o:allowincell="f" fillcolor="#d5dce4 [671]" stroked="f">
                <v:fill opacity="22873f"/>
                <v:textbox inset="14.4pt,14.4pt,14.4pt,14.4pt">
                  <w:txbxContent>
                    <w:p w:rsidR="003F648E" w:rsidRDefault="003F648E">
                      <w:pPr>
                        <w:spacing w:before="480" w:after="240"/>
                        <w:rPr>
                          <w:b/>
                          <w:bCs/>
                          <w:color w:val="323E4F" w:themeColor="text2" w:themeShade="BF"/>
                          <w:sz w:val="28"/>
                          <w:szCs w:val="28"/>
                        </w:rPr>
                      </w:pPr>
                      <w:r w:rsidRPr="002E466B">
                        <w:rPr>
                          <w:b/>
                          <w:bCs/>
                          <w:color w:val="70AD47" w:themeColor="accent6"/>
                          <w:sz w:val="28"/>
                          <w:szCs w:val="28"/>
                        </w:rPr>
                        <w:t>DETECTED</w:t>
                      </w:r>
                      <w:r>
                        <w:rPr>
                          <w:b/>
                          <w:bCs/>
                          <w:color w:val="323E4F" w:themeColor="text2" w:themeShade="BF"/>
                          <w:sz w:val="28"/>
                          <w:szCs w:val="28"/>
                        </w:rPr>
                        <w:t xml:space="preserve"> </w:t>
                      </w:r>
                      <w:r w:rsidRPr="002E466B">
                        <w:rPr>
                          <w:b/>
                          <w:bCs/>
                          <w:color w:val="70AD47" w:themeColor="accent6"/>
                          <w:sz w:val="28"/>
                          <w:szCs w:val="28"/>
                        </w:rPr>
                        <w:t>CONTAMINANTS</w:t>
                      </w:r>
                    </w:p>
                    <w:p w:rsidR="002E466B" w:rsidRPr="005B57F8" w:rsidRDefault="002E466B" w:rsidP="002E466B">
                      <w:pPr>
                        <w:rPr>
                          <w:rFonts w:ascii="Calibri" w:eastAsia="Times New Roman" w:hAnsi="Calibri" w:cs="Times New Roman"/>
                          <w:color w:val="000000"/>
                          <w:sz w:val="20"/>
                          <w:szCs w:val="20"/>
                        </w:rPr>
                      </w:pPr>
                      <w:r w:rsidRPr="002E4234">
                        <w:rPr>
                          <w:rFonts w:ascii="Calibri" w:eastAsia="Times New Roman" w:hAnsi="Calibri" w:cs="Times New Roman"/>
                          <w:color w:val="000000"/>
                          <w:sz w:val="20"/>
                          <w:szCs w:val="20"/>
                        </w:rPr>
                        <w:t xml:space="preserve">A detected contaminant is any contaminant detected at or above its minimum detection </w:t>
                      </w:r>
                      <w:r w:rsidRPr="005B57F8">
                        <w:rPr>
                          <w:rFonts w:ascii="Calibri" w:eastAsia="Times New Roman" w:hAnsi="Calibri" w:cs="Times New Roman"/>
                          <w:color w:val="000000"/>
                          <w:sz w:val="20"/>
                          <w:szCs w:val="20"/>
                        </w:rPr>
                        <w:t>limit (MDL). The State allows us to monitor for some contaminants less than once per year because concentrations of these contaminants do not change frequently. Some of our data, though representative, is more than one year old.</w:t>
                      </w:r>
                    </w:p>
                    <w:p w:rsidR="002E466B" w:rsidRPr="005B57F8" w:rsidRDefault="002E466B" w:rsidP="002E466B">
                      <w:pPr>
                        <w:rPr>
                          <w:rFonts w:ascii="Calibri" w:eastAsia="Times New Roman" w:hAnsi="Calibri" w:cs="Times New Roman"/>
                          <w:color w:val="000000"/>
                          <w:sz w:val="20"/>
                          <w:szCs w:val="20"/>
                        </w:rPr>
                      </w:pPr>
                      <w:r w:rsidRPr="002E4234">
                        <w:rPr>
                          <w:rFonts w:ascii="Calibri" w:eastAsia="Times New Roman" w:hAnsi="Calibri" w:cs="Times New Roman"/>
                          <w:color w:val="000000"/>
                          <w:sz w:val="20"/>
                          <w:szCs w:val="20"/>
                        </w:rPr>
                        <w:t xml:space="preserve">If present, elevated levels of lead can cause serious health problems, especially for pregnant </w:t>
                      </w:r>
                      <w:r w:rsidRPr="005B57F8">
                        <w:rPr>
                          <w:rFonts w:ascii="Calibri" w:eastAsia="Times New Roman" w:hAnsi="Calibri" w:cs="Times New Roman"/>
                          <w:color w:val="000000"/>
                          <w:sz w:val="20"/>
                          <w:szCs w:val="20"/>
                        </w:rPr>
                        <w:t xml:space="preserve">women and young children. Lead in drinking water is primarily from materials and components associated with service lines and home plumbing. The Greenfield Water Utility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5B57F8">
                        <w:rPr>
                          <w:rFonts w:ascii="Calibri" w:eastAsia="Times New Roman" w:hAnsi="Calibri" w:cs="Times New Roman"/>
                          <w:b/>
                          <w:bCs/>
                          <w:color w:val="16365C"/>
                          <w:sz w:val="20"/>
                          <w:szCs w:val="20"/>
                        </w:rPr>
                        <w:t>http://www.epa.gov/safewater/lead</w:t>
                      </w:r>
                      <w:r w:rsidRPr="005B57F8">
                        <w:rPr>
                          <w:rFonts w:ascii="Calibri" w:eastAsia="Times New Roman" w:hAnsi="Calibri" w:cs="Times New Roman"/>
                          <w:color w:val="000000"/>
                          <w:sz w:val="20"/>
                          <w:szCs w:val="20"/>
                        </w:rPr>
                        <w:t>.</w:t>
                      </w:r>
                    </w:p>
                    <w:p w:rsidR="003F648E" w:rsidRDefault="003F648E" w:rsidP="002E466B">
                      <w:pPr>
                        <w:rPr>
                          <w:rStyle w:val="PlaceholderText"/>
                          <w:color w:val="323E4F" w:themeColor="text2" w:themeShade="BF"/>
                        </w:rPr>
                      </w:pPr>
                    </w:p>
                  </w:txbxContent>
                </v:textbox>
                <w10:wrap type="square" anchorx="margin" anchory="margin"/>
              </v:rect>
            </w:pict>
          </mc:Fallback>
        </mc:AlternateContent>
      </w:r>
      <w:r w:rsidR="00352489" w:rsidRPr="00352489">
        <w:rPr>
          <w:b/>
          <w:color w:val="70AD47" w:themeColor="accent6"/>
          <w:sz w:val="20"/>
          <w:szCs w:val="20"/>
        </w:rPr>
        <w:t>MAXIMUM RESIDUAL DISINFECTANT LEVEL (MRDL)</w:t>
      </w:r>
      <w:r w:rsidR="00352489" w:rsidRPr="00352489">
        <w:rPr>
          <w:color w:val="70AD47" w:themeColor="accent6"/>
          <w:sz w:val="20"/>
          <w:szCs w:val="20"/>
        </w:rPr>
        <w:t xml:space="preserve"> </w:t>
      </w:r>
      <w:r w:rsidR="00352489">
        <w:rPr>
          <w:sz w:val="20"/>
          <w:szCs w:val="20"/>
        </w:rPr>
        <w:t xml:space="preserve">- </w:t>
      </w:r>
      <w:r w:rsidR="00352489" w:rsidRPr="000441B7">
        <w:rPr>
          <w:rFonts w:ascii="Calibri" w:hAnsi="Calibri"/>
          <w:color w:val="000000"/>
          <w:sz w:val="20"/>
          <w:szCs w:val="20"/>
        </w:rPr>
        <w:t>The highest level of disinfectant allowed in drinking water. There is convincing evidence that addition of a disinfectant is necessary for control of microbial contaminants.</w:t>
      </w:r>
    </w:p>
    <w:p w:rsidR="00352489" w:rsidRDefault="00352489" w:rsidP="002E466B">
      <w:pPr>
        <w:rPr>
          <w:rFonts w:ascii="Calibri" w:hAnsi="Calibri"/>
          <w:color w:val="000000"/>
          <w:sz w:val="20"/>
          <w:szCs w:val="20"/>
        </w:rPr>
      </w:pPr>
      <w:r w:rsidRPr="00352489">
        <w:rPr>
          <w:b/>
          <w:color w:val="70AD47" w:themeColor="accent6"/>
          <w:sz w:val="20"/>
          <w:szCs w:val="20"/>
        </w:rPr>
        <w:t>MAXIMUM RESIDUAL LEVEL GOAL (MRDLG)</w:t>
      </w:r>
      <w:r w:rsidRPr="00352489">
        <w:rPr>
          <w:color w:val="70AD47" w:themeColor="accent6"/>
          <w:sz w:val="20"/>
          <w:szCs w:val="20"/>
        </w:rPr>
        <w:t xml:space="preserve"> </w:t>
      </w:r>
      <w:r>
        <w:rPr>
          <w:sz w:val="20"/>
          <w:szCs w:val="20"/>
        </w:rPr>
        <w:t xml:space="preserve">- </w:t>
      </w:r>
      <w:r w:rsidRPr="000441B7">
        <w:rPr>
          <w:rFonts w:ascii="Calibri" w:hAnsi="Calibri"/>
          <w:color w:val="000000"/>
          <w:sz w:val="20"/>
          <w:szCs w:val="20"/>
        </w:rPr>
        <w:t xml:space="preserve">The level of a drinking water disinfectant below which there is no known or expected risk to health. MRDLGs do not reflect the </w:t>
      </w:r>
      <w:r w:rsidRPr="000441B7">
        <w:rPr>
          <w:rFonts w:ascii="Calibri" w:hAnsi="Calibri"/>
          <w:color w:val="000000"/>
          <w:sz w:val="20"/>
          <w:szCs w:val="20"/>
        </w:rPr>
        <w:lastRenderedPageBreak/>
        <w:t>benefits of the use of disinfectants to control microbial contaminants.</w:t>
      </w:r>
    </w:p>
    <w:p w:rsidR="00036528" w:rsidRDefault="00036528" w:rsidP="002E466B">
      <w:pPr>
        <w:rPr>
          <w:rFonts w:ascii="Calibri" w:hAnsi="Calibri"/>
          <w:color w:val="000000"/>
          <w:sz w:val="20"/>
          <w:szCs w:val="20"/>
        </w:rPr>
        <w:sectPr w:rsidR="00036528" w:rsidSect="00036528">
          <w:type w:val="continuous"/>
          <w:pgSz w:w="15840" w:h="24480" w:code="1"/>
          <w:pgMar w:top="720" w:right="720" w:bottom="720" w:left="720" w:header="720" w:footer="720" w:gutter="0"/>
          <w:cols w:num="4" w:sep="1" w:space="720"/>
          <w:docGrid w:linePitch="360"/>
        </w:sectPr>
      </w:pPr>
    </w:p>
    <w:p w:rsidR="00352489" w:rsidRPr="002E466B" w:rsidRDefault="00352489" w:rsidP="002E466B">
      <w:pPr>
        <w:rPr>
          <w:rFonts w:ascii="Calibri" w:hAnsi="Calibri"/>
          <w:color w:val="000000"/>
          <w:sz w:val="20"/>
          <w:szCs w:val="20"/>
        </w:rPr>
      </w:pPr>
    </w:p>
    <w:p w:rsidR="00036528" w:rsidRPr="005B57F8" w:rsidRDefault="00036528" w:rsidP="00036528">
      <w:pPr>
        <w:rPr>
          <w:rFonts w:ascii="Calibri" w:eastAsia="Times New Roman" w:hAnsi="Calibri" w:cs="Times New Roman"/>
          <w:b/>
          <w:color w:val="000000"/>
        </w:rPr>
      </w:pPr>
      <w:r w:rsidRPr="00036528">
        <w:rPr>
          <w:rFonts w:ascii="Calibri" w:eastAsia="Times New Roman" w:hAnsi="Calibri" w:cs="Times New Roman"/>
          <w:b/>
          <w:color w:val="000000"/>
        </w:rPr>
        <w:t xml:space="preserve"> </w:t>
      </w:r>
      <w:r w:rsidRPr="00036528">
        <w:rPr>
          <w:rFonts w:ascii="Calibri" w:eastAsia="Times New Roman" w:hAnsi="Calibri" w:cs="Times New Roman"/>
          <w:b/>
          <w:color w:val="70AD47" w:themeColor="accent6"/>
        </w:rPr>
        <w:t>UNREGUALTED CONTAMINANTS</w:t>
      </w:r>
    </w:p>
    <w:p w:rsidR="00036528" w:rsidRPr="005B57F8" w:rsidRDefault="00036528" w:rsidP="00036528">
      <w:pPr>
        <w:rPr>
          <w:rFonts w:ascii="Calibri" w:eastAsia="Times New Roman" w:hAnsi="Calibri" w:cs="Times New Roman"/>
          <w:color w:val="000000"/>
          <w:sz w:val="20"/>
          <w:szCs w:val="20"/>
        </w:rPr>
      </w:pPr>
      <w:r w:rsidRPr="005B57F8">
        <w:rPr>
          <w:rFonts w:ascii="Calibri" w:eastAsia="Times New Roman" w:hAnsi="Calibri" w:cs="Times New Roman"/>
          <w:color w:val="000000"/>
          <w:sz w:val="20"/>
          <w:szCs w:val="20"/>
        </w:rPr>
        <w:t xml:space="preserve">The purpose of monitoring for unregulated contaminants in drinking water is to provide data to support the EPA Administrator’s decisions concerning whether or not to regulate these contaminants in the future for the protection of public health. The Greenfield Water Utility has tested for unregulated contaminants as required.  A copy is available upon request. </w:t>
      </w:r>
    </w:p>
    <w:p w:rsidR="00036528" w:rsidRPr="002D0815" w:rsidRDefault="00036528" w:rsidP="00036528">
      <w:pPr>
        <w:rPr>
          <w:rFonts w:ascii="Calibri" w:eastAsia="Times New Roman" w:hAnsi="Calibri" w:cs="Times New Roman"/>
          <w:color w:val="000000"/>
          <w:sz w:val="20"/>
          <w:szCs w:val="20"/>
        </w:rPr>
      </w:pPr>
      <w:r w:rsidRPr="002D0815">
        <w:rPr>
          <w:rFonts w:ascii="Calibri" w:eastAsia="Times New Roman" w:hAnsi="Calibri" w:cs="Times New Roman"/>
          <w:bCs/>
          <w:color w:val="000000"/>
          <w:sz w:val="20"/>
          <w:szCs w:val="20"/>
        </w:rPr>
        <w:t>NOTE:</w:t>
      </w:r>
      <w:r w:rsidRPr="002D0815">
        <w:rPr>
          <w:rFonts w:ascii="Calibri" w:eastAsia="Times New Roman" w:hAnsi="Calibri" w:cs="Times New Roman"/>
          <w:color w:val="000000"/>
          <w:sz w:val="20"/>
          <w:szCs w:val="20"/>
        </w:rPr>
        <w:t xml:space="preserve"> The EPA requires monitoring for over 80 drinking water contaminants. The contaminants listed above are the only contaminants detected in Greenfield Municipal Water. Please understand that none of the compounds listed are at or above the limits established by the USEPA. For a complete list of contaminants that are tested, contact the Greenfield Water Utility.        </w:t>
      </w:r>
    </w:p>
    <w:p w:rsidR="00036528" w:rsidRPr="002E4234" w:rsidRDefault="00036528" w:rsidP="00036528">
      <w:pPr>
        <w:rPr>
          <w:rFonts w:ascii="Calibri" w:eastAsia="Times New Roman" w:hAnsi="Calibri" w:cs="Times New Roman"/>
          <w:color w:val="000000"/>
        </w:rPr>
      </w:pPr>
    </w:p>
    <w:tbl>
      <w:tblPr>
        <w:tblStyle w:val="TableGrid"/>
        <w:tblW w:w="0" w:type="auto"/>
        <w:tblLook w:val="04A0" w:firstRow="1" w:lastRow="0" w:firstColumn="1" w:lastColumn="0" w:noHBand="0" w:noVBand="1"/>
      </w:tblPr>
      <w:tblGrid>
        <w:gridCol w:w="5395"/>
        <w:gridCol w:w="2880"/>
      </w:tblGrid>
      <w:tr w:rsidR="00036528" w:rsidTr="000A309B">
        <w:tc>
          <w:tcPr>
            <w:tcW w:w="5395" w:type="dxa"/>
          </w:tcPr>
          <w:p w:rsidR="00036528" w:rsidRPr="002D0815" w:rsidRDefault="00036528" w:rsidP="0099416E">
            <w:pPr>
              <w:rPr>
                <w:sz w:val="18"/>
                <w:szCs w:val="18"/>
              </w:rPr>
            </w:pPr>
            <w:r w:rsidRPr="002D0815">
              <w:rPr>
                <w:sz w:val="18"/>
                <w:szCs w:val="18"/>
              </w:rPr>
              <w:t>TREATMENT</w:t>
            </w:r>
            <w:r>
              <w:rPr>
                <w:sz w:val="18"/>
                <w:szCs w:val="18"/>
              </w:rPr>
              <w:t xml:space="preserve"> TECHNIQUES</w:t>
            </w:r>
          </w:p>
        </w:tc>
        <w:tc>
          <w:tcPr>
            <w:tcW w:w="2880" w:type="dxa"/>
          </w:tcPr>
          <w:p w:rsidR="00036528" w:rsidRPr="002D0815" w:rsidRDefault="00036528" w:rsidP="0099416E">
            <w:pPr>
              <w:rPr>
                <w:sz w:val="18"/>
                <w:szCs w:val="18"/>
              </w:rPr>
            </w:pPr>
            <w:r>
              <w:rPr>
                <w:sz w:val="18"/>
                <w:szCs w:val="18"/>
              </w:rPr>
              <w:t>NO VIOLATION</w:t>
            </w:r>
          </w:p>
        </w:tc>
      </w:tr>
      <w:tr w:rsidR="00036528" w:rsidTr="000A309B">
        <w:tc>
          <w:tcPr>
            <w:tcW w:w="5395" w:type="dxa"/>
          </w:tcPr>
          <w:p w:rsidR="00036528" w:rsidRPr="002D0815" w:rsidRDefault="00036528" w:rsidP="0099416E">
            <w:pPr>
              <w:rPr>
                <w:sz w:val="18"/>
                <w:szCs w:val="18"/>
              </w:rPr>
            </w:pPr>
            <w:r>
              <w:rPr>
                <w:sz w:val="18"/>
                <w:szCs w:val="18"/>
              </w:rPr>
              <w:t>LEAD AND COPPER CONTROL</w:t>
            </w:r>
          </w:p>
        </w:tc>
        <w:tc>
          <w:tcPr>
            <w:tcW w:w="2880" w:type="dxa"/>
          </w:tcPr>
          <w:p w:rsidR="00036528" w:rsidRPr="002D0815" w:rsidRDefault="00036528" w:rsidP="0099416E">
            <w:pPr>
              <w:rPr>
                <w:sz w:val="18"/>
                <w:szCs w:val="18"/>
              </w:rPr>
            </w:pPr>
            <w:r>
              <w:rPr>
                <w:sz w:val="18"/>
                <w:szCs w:val="18"/>
              </w:rPr>
              <w:t>NO VIOLATION</w:t>
            </w:r>
          </w:p>
        </w:tc>
      </w:tr>
      <w:tr w:rsidR="00036528" w:rsidTr="000A309B">
        <w:tc>
          <w:tcPr>
            <w:tcW w:w="5395" w:type="dxa"/>
          </w:tcPr>
          <w:p w:rsidR="00036528" w:rsidRPr="002D0815" w:rsidRDefault="00036528" w:rsidP="0099416E">
            <w:pPr>
              <w:rPr>
                <w:sz w:val="18"/>
                <w:szCs w:val="18"/>
              </w:rPr>
            </w:pPr>
            <w:r>
              <w:rPr>
                <w:sz w:val="18"/>
                <w:szCs w:val="18"/>
              </w:rPr>
              <w:t>MONITORING AND REPORTING DATA</w:t>
            </w:r>
          </w:p>
        </w:tc>
        <w:tc>
          <w:tcPr>
            <w:tcW w:w="2880" w:type="dxa"/>
          </w:tcPr>
          <w:p w:rsidR="00036528" w:rsidRPr="002D0815" w:rsidRDefault="00036528" w:rsidP="0099416E">
            <w:pPr>
              <w:rPr>
                <w:sz w:val="18"/>
                <w:szCs w:val="18"/>
              </w:rPr>
            </w:pPr>
            <w:r>
              <w:rPr>
                <w:sz w:val="18"/>
                <w:szCs w:val="18"/>
              </w:rPr>
              <w:t>NO VIOLATION</w:t>
            </w:r>
          </w:p>
        </w:tc>
      </w:tr>
      <w:tr w:rsidR="00036528" w:rsidTr="000A309B">
        <w:tc>
          <w:tcPr>
            <w:tcW w:w="5395" w:type="dxa"/>
          </w:tcPr>
          <w:p w:rsidR="00036528" w:rsidRPr="002D0815" w:rsidRDefault="00036528" w:rsidP="0099416E">
            <w:pPr>
              <w:rPr>
                <w:sz w:val="18"/>
                <w:szCs w:val="18"/>
              </w:rPr>
            </w:pPr>
            <w:r>
              <w:rPr>
                <w:sz w:val="18"/>
                <w:szCs w:val="18"/>
              </w:rPr>
              <w:t>RECORD KEEPING REQUIRMENTS</w:t>
            </w:r>
          </w:p>
        </w:tc>
        <w:tc>
          <w:tcPr>
            <w:tcW w:w="2880" w:type="dxa"/>
          </w:tcPr>
          <w:p w:rsidR="00036528" w:rsidRPr="002D0815" w:rsidRDefault="00036528" w:rsidP="0099416E">
            <w:pPr>
              <w:rPr>
                <w:sz w:val="18"/>
                <w:szCs w:val="18"/>
              </w:rPr>
            </w:pPr>
            <w:r>
              <w:rPr>
                <w:sz w:val="18"/>
                <w:szCs w:val="18"/>
              </w:rPr>
              <w:t>NO VIOLATION</w:t>
            </w:r>
          </w:p>
        </w:tc>
      </w:tr>
      <w:tr w:rsidR="00036528" w:rsidTr="000A309B">
        <w:tc>
          <w:tcPr>
            <w:tcW w:w="5395" w:type="dxa"/>
          </w:tcPr>
          <w:p w:rsidR="00036528" w:rsidRPr="002D0815" w:rsidRDefault="00036528" w:rsidP="0099416E">
            <w:pPr>
              <w:rPr>
                <w:sz w:val="18"/>
                <w:szCs w:val="18"/>
              </w:rPr>
            </w:pPr>
            <w:r>
              <w:rPr>
                <w:sz w:val="18"/>
                <w:szCs w:val="18"/>
              </w:rPr>
              <w:t>VIOLATION OF A VARIANCE OR EXEMPTION</w:t>
            </w:r>
          </w:p>
        </w:tc>
        <w:tc>
          <w:tcPr>
            <w:tcW w:w="2880" w:type="dxa"/>
          </w:tcPr>
          <w:p w:rsidR="00036528" w:rsidRPr="002D0815" w:rsidRDefault="00036528" w:rsidP="0099416E">
            <w:pPr>
              <w:rPr>
                <w:sz w:val="18"/>
                <w:szCs w:val="18"/>
              </w:rPr>
            </w:pPr>
            <w:r>
              <w:rPr>
                <w:sz w:val="18"/>
                <w:szCs w:val="18"/>
              </w:rPr>
              <w:t>NO VIOLATION</w:t>
            </w:r>
          </w:p>
        </w:tc>
      </w:tr>
      <w:tr w:rsidR="00036528" w:rsidTr="000A309B">
        <w:tc>
          <w:tcPr>
            <w:tcW w:w="5395" w:type="dxa"/>
          </w:tcPr>
          <w:p w:rsidR="00036528" w:rsidRPr="002D0815" w:rsidRDefault="00036528" w:rsidP="0099416E">
            <w:pPr>
              <w:rPr>
                <w:sz w:val="18"/>
                <w:szCs w:val="18"/>
              </w:rPr>
            </w:pPr>
            <w:r>
              <w:rPr>
                <w:sz w:val="18"/>
                <w:szCs w:val="18"/>
              </w:rPr>
              <w:t>VIOLATION OF AN ADMINISTRATIVE OR JUDICIAL ORDER</w:t>
            </w:r>
          </w:p>
        </w:tc>
        <w:tc>
          <w:tcPr>
            <w:tcW w:w="2880" w:type="dxa"/>
          </w:tcPr>
          <w:p w:rsidR="00036528" w:rsidRPr="002D0815" w:rsidRDefault="00036528" w:rsidP="0099416E">
            <w:pPr>
              <w:rPr>
                <w:sz w:val="18"/>
                <w:szCs w:val="18"/>
              </w:rPr>
            </w:pPr>
            <w:r>
              <w:rPr>
                <w:sz w:val="18"/>
                <w:szCs w:val="18"/>
              </w:rPr>
              <w:t>NO VIOLATION</w:t>
            </w:r>
          </w:p>
        </w:tc>
      </w:tr>
      <w:tr w:rsidR="00036528" w:rsidTr="000A309B">
        <w:tc>
          <w:tcPr>
            <w:tcW w:w="5395" w:type="dxa"/>
          </w:tcPr>
          <w:p w:rsidR="00036528" w:rsidRPr="002D0815" w:rsidRDefault="00036528" w:rsidP="0099416E">
            <w:pPr>
              <w:rPr>
                <w:sz w:val="18"/>
                <w:szCs w:val="18"/>
              </w:rPr>
            </w:pPr>
            <w:r>
              <w:rPr>
                <w:sz w:val="18"/>
                <w:szCs w:val="18"/>
              </w:rPr>
              <w:t>SPECIAL MONITORING REQUIREMENTS</w:t>
            </w:r>
          </w:p>
        </w:tc>
        <w:tc>
          <w:tcPr>
            <w:tcW w:w="2880" w:type="dxa"/>
          </w:tcPr>
          <w:p w:rsidR="00036528" w:rsidRPr="002D0815" w:rsidRDefault="00036528" w:rsidP="0099416E">
            <w:pPr>
              <w:rPr>
                <w:sz w:val="18"/>
                <w:szCs w:val="18"/>
              </w:rPr>
            </w:pPr>
            <w:r>
              <w:rPr>
                <w:sz w:val="18"/>
                <w:szCs w:val="18"/>
              </w:rPr>
              <w:t>NO VIOLATION</w:t>
            </w:r>
          </w:p>
        </w:tc>
      </w:tr>
    </w:tbl>
    <w:p w:rsidR="003F648E" w:rsidRDefault="003F648E" w:rsidP="002E466B">
      <w:pPr>
        <w:rPr>
          <w:rFonts w:eastAsia="Times New Roman"/>
          <w:color w:val="000000"/>
          <w:spacing w:val="-2"/>
        </w:rPr>
      </w:pPr>
    </w:p>
    <w:p w:rsidR="00C83C0D" w:rsidRPr="00C83C0D" w:rsidRDefault="00C83C0D" w:rsidP="00C83C0D">
      <w:pPr>
        <w:rPr>
          <w:rFonts w:ascii="Calibri" w:eastAsia="Times New Roman" w:hAnsi="Calibri" w:cs="Times New Roman"/>
          <w:b/>
          <w:bCs/>
          <w:color w:val="70AD47" w:themeColor="accent6"/>
        </w:rPr>
      </w:pPr>
      <w:r w:rsidRPr="00C83C0D">
        <w:rPr>
          <w:rFonts w:ascii="Calibri" w:eastAsia="Times New Roman" w:hAnsi="Calibri" w:cs="Times New Roman"/>
          <w:b/>
          <w:bCs/>
          <w:color w:val="70AD47" w:themeColor="accent6"/>
        </w:rPr>
        <w:t>SOURCE OF WATER FOR GREENFIELD</w:t>
      </w:r>
    </w:p>
    <w:p w:rsidR="00C83C0D" w:rsidRPr="00C83C0D" w:rsidRDefault="00C83C0D" w:rsidP="00C83C0D">
      <w:pPr>
        <w:rPr>
          <w:rFonts w:ascii="Calibri" w:eastAsia="Times New Roman" w:hAnsi="Calibri" w:cs="Times New Roman"/>
          <w:color w:val="000000"/>
          <w:sz w:val="20"/>
          <w:szCs w:val="16"/>
        </w:rPr>
      </w:pPr>
      <w:r w:rsidRPr="00C83C0D">
        <w:rPr>
          <w:rFonts w:ascii="Calibri" w:eastAsia="Times New Roman" w:hAnsi="Calibri" w:cs="Times New Roman"/>
          <w:color w:val="000000"/>
          <w:sz w:val="20"/>
          <w:szCs w:val="16"/>
        </w:rPr>
        <w:t xml:space="preserve">The City of Greenfield Water Utility draws water from aquifers in Greenfield. The water is pumped from the City wells to the Filtration Plants and then put through the filtration and disinfection process.  It is then sent into the water distribution system.  The total capacity of all plants is seven million gallons per day, with the capability to expand to eleven million gallons per day. The City currently averages approximately 2.5 million gallons per day. A Wellhead Protection Program is in place. Wellhead Protection is available for viewing upon request.                                            </w:t>
      </w:r>
    </w:p>
    <w:p w:rsidR="006B603E" w:rsidRDefault="006B603E" w:rsidP="002E466B">
      <w:pPr>
        <w:rPr>
          <w:rFonts w:eastAsia="Times New Roman"/>
          <w:color w:val="000000"/>
          <w:spacing w:val="-2"/>
          <w:sz w:val="28"/>
        </w:rPr>
      </w:pPr>
    </w:p>
    <w:p w:rsidR="000A309B" w:rsidRPr="00C83C0D" w:rsidRDefault="006B603E" w:rsidP="002E466B">
      <w:pPr>
        <w:rPr>
          <w:rFonts w:eastAsia="Times New Roman"/>
          <w:color w:val="000000"/>
          <w:spacing w:val="-2"/>
          <w:sz w:val="28"/>
        </w:rPr>
      </w:pPr>
      <w:r>
        <w:rPr>
          <w:b/>
          <w:bCs/>
          <w:noProof/>
          <w:color w:val="70AD47" w:themeColor="accent6"/>
          <w:sz w:val="28"/>
          <w:szCs w:val="28"/>
        </w:rPr>
        <w:drawing>
          <wp:inline distT="0" distB="0" distL="0" distR="0" wp14:anchorId="5E17E470" wp14:editId="55A39253">
            <wp:extent cx="785813" cy="785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field Se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1123" cy="791123"/>
                    </a:xfrm>
                    <a:prstGeom prst="rect">
                      <a:avLst/>
                    </a:prstGeom>
                  </pic:spPr>
                </pic:pic>
              </a:graphicData>
            </a:graphic>
          </wp:inline>
        </w:drawing>
      </w:r>
    </w:p>
    <w:sectPr w:rsidR="000A309B" w:rsidRPr="00C83C0D" w:rsidSect="00362686">
      <w:type w:val="continuous"/>
      <w:pgSz w:w="15840" w:h="2448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B7AC2"/>
    <w:multiLevelType w:val="hybridMultilevel"/>
    <w:tmpl w:val="A8CE50B4"/>
    <w:lvl w:ilvl="0" w:tplc="937ECED8">
      <w:start w:val="45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40"/>
    <w:rsid w:val="00036528"/>
    <w:rsid w:val="000A309B"/>
    <w:rsid w:val="000C088F"/>
    <w:rsid w:val="000C57F2"/>
    <w:rsid w:val="000D3D0A"/>
    <w:rsid w:val="000F13EC"/>
    <w:rsid w:val="001473E6"/>
    <w:rsid w:val="00193396"/>
    <w:rsid w:val="001A0CE8"/>
    <w:rsid w:val="002E466B"/>
    <w:rsid w:val="00344459"/>
    <w:rsid w:val="00352489"/>
    <w:rsid w:val="00362686"/>
    <w:rsid w:val="003B1367"/>
    <w:rsid w:val="003F648E"/>
    <w:rsid w:val="004250AE"/>
    <w:rsid w:val="00474BED"/>
    <w:rsid w:val="005131AE"/>
    <w:rsid w:val="00595722"/>
    <w:rsid w:val="00670540"/>
    <w:rsid w:val="006B603E"/>
    <w:rsid w:val="006C0503"/>
    <w:rsid w:val="006E7DD2"/>
    <w:rsid w:val="008A31B6"/>
    <w:rsid w:val="008C0E05"/>
    <w:rsid w:val="00910484"/>
    <w:rsid w:val="009D6AD9"/>
    <w:rsid w:val="00A16EBF"/>
    <w:rsid w:val="00A53632"/>
    <w:rsid w:val="00B30C9F"/>
    <w:rsid w:val="00B457B4"/>
    <w:rsid w:val="00B70B5C"/>
    <w:rsid w:val="00C04867"/>
    <w:rsid w:val="00C570D5"/>
    <w:rsid w:val="00C83C0D"/>
    <w:rsid w:val="00C92CF7"/>
    <w:rsid w:val="00D1051C"/>
    <w:rsid w:val="00D93DDB"/>
    <w:rsid w:val="00DE47B0"/>
    <w:rsid w:val="00DE519A"/>
    <w:rsid w:val="00E01F53"/>
    <w:rsid w:val="00E0277D"/>
    <w:rsid w:val="00E37560"/>
    <w:rsid w:val="00EE5E87"/>
    <w:rsid w:val="00F600AC"/>
    <w:rsid w:val="00FD7CD5"/>
    <w:rsid w:val="00FE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FFF06-B71A-4CD3-9C80-D343D84D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48E"/>
    <w:rPr>
      <w:color w:val="808080"/>
    </w:rPr>
  </w:style>
  <w:style w:type="table" w:styleId="TableGrid">
    <w:name w:val="Table Grid"/>
    <w:basedOn w:val="TableNormal"/>
    <w:uiPriority w:val="39"/>
    <w:rsid w:val="00036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309B"/>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97218">
      <w:bodyDiv w:val="1"/>
      <w:marLeft w:val="0"/>
      <w:marRight w:val="0"/>
      <w:marTop w:val="0"/>
      <w:marBottom w:val="0"/>
      <w:divBdr>
        <w:top w:val="none" w:sz="0" w:space="0" w:color="auto"/>
        <w:left w:val="none" w:sz="0" w:space="0" w:color="auto"/>
        <w:bottom w:val="none" w:sz="0" w:space="0" w:color="auto"/>
        <w:right w:val="none" w:sz="0" w:space="0" w:color="auto"/>
      </w:divBdr>
    </w:div>
    <w:div w:id="1208252445">
      <w:bodyDiv w:val="1"/>
      <w:marLeft w:val="0"/>
      <w:marRight w:val="0"/>
      <w:marTop w:val="0"/>
      <w:marBottom w:val="0"/>
      <w:divBdr>
        <w:top w:val="none" w:sz="0" w:space="0" w:color="auto"/>
        <w:left w:val="none" w:sz="0" w:space="0" w:color="auto"/>
        <w:bottom w:val="none" w:sz="0" w:space="0" w:color="auto"/>
        <w:right w:val="none" w:sz="0" w:space="0" w:color="auto"/>
      </w:divBdr>
    </w:div>
    <w:div w:id="1332829092">
      <w:bodyDiv w:val="1"/>
      <w:marLeft w:val="0"/>
      <w:marRight w:val="0"/>
      <w:marTop w:val="0"/>
      <w:marBottom w:val="0"/>
      <w:divBdr>
        <w:top w:val="none" w:sz="0" w:space="0" w:color="auto"/>
        <w:left w:val="none" w:sz="0" w:space="0" w:color="auto"/>
        <w:bottom w:val="none" w:sz="0" w:space="0" w:color="auto"/>
        <w:right w:val="none" w:sz="0" w:space="0" w:color="auto"/>
      </w:divBdr>
    </w:div>
    <w:div w:id="1494102263">
      <w:bodyDiv w:val="1"/>
      <w:marLeft w:val="0"/>
      <w:marRight w:val="0"/>
      <w:marTop w:val="0"/>
      <w:marBottom w:val="0"/>
      <w:divBdr>
        <w:top w:val="none" w:sz="0" w:space="0" w:color="auto"/>
        <w:left w:val="none" w:sz="0" w:space="0" w:color="auto"/>
        <w:bottom w:val="none" w:sz="0" w:space="0" w:color="auto"/>
        <w:right w:val="none" w:sz="0" w:space="0" w:color="auto"/>
      </w:divBdr>
    </w:div>
    <w:div w:id="1619991113">
      <w:bodyDiv w:val="1"/>
      <w:marLeft w:val="0"/>
      <w:marRight w:val="0"/>
      <w:marTop w:val="0"/>
      <w:marBottom w:val="0"/>
      <w:divBdr>
        <w:top w:val="none" w:sz="0" w:space="0" w:color="auto"/>
        <w:left w:val="none" w:sz="0" w:space="0" w:color="auto"/>
        <w:bottom w:val="none" w:sz="0" w:space="0" w:color="auto"/>
        <w:right w:val="none" w:sz="0" w:space="0" w:color="auto"/>
      </w:divBdr>
    </w:div>
    <w:div w:id="1633824316">
      <w:bodyDiv w:val="1"/>
      <w:marLeft w:val="0"/>
      <w:marRight w:val="0"/>
      <w:marTop w:val="0"/>
      <w:marBottom w:val="0"/>
      <w:divBdr>
        <w:top w:val="none" w:sz="0" w:space="0" w:color="auto"/>
        <w:left w:val="none" w:sz="0" w:space="0" w:color="auto"/>
        <w:bottom w:val="none" w:sz="0" w:space="0" w:color="auto"/>
        <w:right w:val="none" w:sz="0" w:space="0" w:color="auto"/>
      </w:divBdr>
    </w:div>
    <w:div w:id="18601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FD71A-B781-4A82-AD09-F6525665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Petrey</dc:creator>
  <cp:keywords/>
  <dc:description/>
  <cp:lastModifiedBy>Jimmy Griffith</cp:lastModifiedBy>
  <cp:revision>2</cp:revision>
  <dcterms:created xsi:type="dcterms:W3CDTF">2022-09-07T13:58:00Z</dcterms:created>
  <dcterms:modified xsi:type="dcterms:W3CDTF">2022-09-07T13:58:00Z</dcterms:modified>
</cp:coreProperties>
</file>