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D30E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28B96E85" w14:textId="77777777" w:rsidR="00CA4505" w:rsidRPr="00AF18EB" w:rsidRDefault="00D47AA0" w:rsidP="004D146E">
      <w:pPr>
        <w:pStyle w:val="InsideAddressName"/>
        <w:jc w:val="center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 w:rsidRPr="00AF18EB">
        <w:rPr>
          <w:rFonts w:ascii="Century Gothic" w:hAnsi="Century Gothic"/>
          <w:sz w:val="20"/>
          <w:szCs w:val="20"/>
        </w:rPr>
        <w:t>AGENDA</w:t>
      </w:r>
    </w:p>
    <w:p w14:paraId="6CD1BFCD" w14:textId="77777777" w:rsidR="00C771C1" w:rsidRPr="00AF18EB" w:rsidRDefault="00C771C1" w:rsidP="00C771C1">
      <w:pPr>
        <w:rPr>
          <w:rFonts w:ascii="Century Gothic" w:hAnsi="Century Gothic"/>
        </w:rPr>
      </w:pPr>
    </w:p>
    <w:p w14:paraId="45B8135C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B7BE0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365C16D8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Steve McCleerey</w:t>
      </w:r>
    </w:p>
    <w:p w14:paraId="05E5277A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43281FFA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755F9D8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702BFAFE" w14:textId="77777777" w:rsidR="00C771C1" w:rsidRPr="00AF18EB" w:rsidRDefault="00C771C1" w:rsidP="00C771C1">
      <w:pPr>
        <w:rPr>
          <w:rFonts w:ascii="Century Gothic" w:hAnsi="Century Gothic"/>
        </w:rPr>
      </w:pPr>
    </w:p>
    <w:p w14:paraId="6248DB48" w14:textId="77777777" w:rsidR="00C771C1" w:rsidRPr="00AF18EB" w:rsidRDefault="00C771C1" w:rsidP="00C771C1">
      <w:pPr>
        <w:rPr>
          <w:rFonts w:ascii="Century Gothic" w:hAnsi="Century Gothic"/>
        </w:rPr>
      </w:pPr>
    </w:p>
    <w:p w14:paraId="2011407C" w14:textId="77777777" w:rsidR="00C771C1" w:rsidRPr="00AF18EB" w:rsidRDefault="00C771C1" w:rsidP="00C771C1">
      <w:pPr>
        <w:rPr>
          <w:rFonts w:ascii="Century Gothic" w:hAnsi="Century Gothic"/>
        </w:rPr>
      </w:pPr>
    </w:p>
    <w:p w14:paraId="50E39B07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46BF4E6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342FD714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AF84D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7EF47A3C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04024EF4" w14:textId="20DD42D9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172F56">
        <w:rPr>
          <w:rFonts w:ascii="Century Gothic" w:hAnsi="Century Gothic"/>
          <w:b/>
        </w:rPr>
        <w:t>November 2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202</w:t>
      </w:r>
      <w:r w:rsidR="006C726C">
        <w:rPr>
          <w:rFonts w:ascii="Century Gothic" w:hAnsi="Century Gothic"/>
          <w:b/>
        </w:rPr>
        <w:t>3</w:t>
      </w:r>
      <w:r w:rsidR="00CA4505" w:rsidRPr="00AF18EB">
        <w:rPr>
          <w:rFonts w:ascii="Century Gothic" w:hAnsi="Century Gothic"/>
        </w:rPr>
        <w:t xml:space="preserve"> </w:t>
      </w:r>
      <w:r w:rsidRPr="00172F56">
        <w:rPr>
          <w:rFonts w:ascii="Century Gothic" w:hAnsi="Century Gothic"/>
          <w:b/>
          <w:bCs/>
        </w:rPr>
        <w:t>at 4 p.m</w:t>
      </w:r>
      <w:r w:rsidRPr="00AF18EB">
        <w:rPr>
          <w:rFonts w:ascii="Century Gothic" w:hAnsi="Century Gothic"/>
        </w:rPr>
        <w:t>. in the Council Chambers, Keith McClarnon Government Center, 10 S. State Street.</w:t>
      </w:r>
    </w:p>
    <w:p w14:paraId="679BA38E" w14:textId="77777777" w:rsidR="002F74EC" w:rsidRDefault="002F74EC" w:rsidP="00CA004F">
      <w:pPr>
        <w:pStyle w:val="BodyText"/>
        <w:rPr>
          <w:rFonts w:ascii="Century Gothic" w:hAnsi="Century Gothic"/>
          <w:b/>
        </w:rPr>
      </w:pPr>
    </w:p>
    <w:p w14:paraId="58DE7246" w14:textId="77777777"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  <w:r w:rsidR="002F74EC">
        <w:rPr>
          <w:rFonts w:ascii="Century Gothic" w:hAnsi="Century Gothic"/>
          <w:b/>
        </w:rPr>
        <w:t xml:space="preserve"> </w:t>
      </w:r>
    </w:p>
    <w:p w14:paraId="68D2D2A6" w14:textId="77777777" w:rsidR="002705ED" w:rsidRPr="0094196D" w:rsidRDefault="002705ED" w:rsidP="002705ED">
      <w:pPr>
        <w:pStyle w:val="BodyText"/>
        <w:spacing w:after="0"/>
        <w:rPr>
          <w:rFonts w:ascii="Century Gothic" w:hAnsi="Century Gothic"/>
        </w:rPr>
      </w:pPr>
      <w:r w:rsidRPr="0094196D">
        <w:rPr>
          <w:rFonts w:ascii="Century Gothic" w:hAnsi="Century Gothic"/>
        </w:rPr>
        <w:t>Roll Call</w:t>
      </w:r>
    </w:p>
    <w:p w14:paraId="7AE827BB" w14:textId="77777777" w:rsidR="002705ED" w:rsidRPr="00AF18EB" w:rsidRDefault="002705ED" w:rsidP="002705E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Approval of Minutes</w:t>
      </w:r>
      <w:r w:rsidR="004D146E">
        <w:rPr>
          <w:rFonts w:ascii="Century Gothic" w:hAnsi="Century Gothic"/>
        </w:rPr>
        <w:t xml:space="preserve"> for</w:t>
      </w:r>
      <w:r>
        <w:rPr>
          <w:rFonts w:ascii="Century Gothic" w:hAnsi="Century Gothic"/>
        </w:rPr>
        <w:t xml:space="preserve"> </w:t>
      </w:r>
      <w:r w:rsidR="004D146E">
        <w:rPr>
          <w:rFonts w:ascii="Century Gothic" w:hAnsi="Century Gothic"/>
        </w:rPr>
        <w:t>September 28</w:t>
      </w:r>
      <w:r>
        <w:rPr>
          <w:rFonts w:ascii="Century Gothic" w:hAnsi="Century Gothic"/>
        </w:rPr>
        <w:t>, 2023</w:t>
      </w:r>
      <w:r w:rsidR="004D146E">
        <w:rPr>
          <w:rFonts w:ascii="Century Gothic" w:hAnsi="Century Gothic"/>
        </w:rPr>
        <w:t xml:space="preserve"> Meeting</w:t>
      </w:r>
    </w:p>
    <w:p w14:paraId="374933AF" w14:textId="77777777" w:rsidR="007F57A3" w:rsidRPr="00AF18EB" w:rsidRDefault="007F57A3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E509911" w14:textId="77777777" w:rsidR="00027FFB" w:rsidRDefault="00027FFB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 w:rsidRPr="00AF18EB">
        <w:rPr>
          <w:rFonts w:ascii="Century Gothic" w:hAnsi="Century Gothic"/>
          <w:b/>
          <w:u w:val="single"/>
        </w:rPr>
        <w:t>Old Business:</w:t>
      </w:r>
    </w:p>
    <w:p w14:paraId="450CE882" w14:textId="77777777" w:rsidR="002B5866" w:rsidRDefault="002B5866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1B78D6A0" w14:textId="77777777" w:rsidR="00172F56" w:rsidRDefault="002B5866" w:rsidP="00356E59">
      <w:pPr>
        <w:pStyle w:val="BodyText"/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 xml:space="preserve">Rules of Procedure Modifications: </w:t>
      </w:r>
      <w:r w:rsidRPr="00763328">
        <w:rPr>
          <w:rFonts w:ascii="Century Gothic" w:hAnsi="Century Gothic" w:cs="Calibri"/>
          <w:b/>
        </w:rPr>
        <w:t>The City of Greenfield Planning Department</w:t>
      </w:r>
      <w:r>
        <w:rPr>
          <w:rFonts w:ascii="Century Gothic" w:hAnsi="Century Gothic" w:cs="Calibri"/>
        </w:rPr>
        <w:t xml:space="preserve"> is proposing adoption of modifications to Rules of Procedure for the HBR regarding meeting and application timelines.</w:t>
      </w:r>
      <w:r>
        <w:rPr>
          <w:rFonts w:ascii="Century Gothic" w:hAnsi="Century Gothic" w:cs="Calibri"/>
        </w:rPr>
        <w:br/>
      </w:r>
    </w:p>
    <w:p w14:paraId="39538111" w14:textId="61C28586" w:rsidR="00172F56" w:rsidRDefault="00172F56" w:rsidP="00172F56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 w:cs="Calibri"/>
          <w:b/>
        </w:rPr>
        <w:t xml:space="preserve">COA23-03: </w:t>
      </w:r>
      <w:r>
        <w:rPr>
          <w:rFonts w:ascii="Century Gothic" w:hAnsi="Century Gothic" w:cs="Calibri"/>
          <w:b/>
        </w:rPr>
        <w:tab/>
        <w:t>209 W Main St,</w:t>
      </w:r>
      <w:r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  <w:b/>
        </w:rPr>
        <w:t>G &amp; D Investment Properties LLC (Ford’s Flooring)</w:t>
      </w:r>
      <w:r>
        <w:rPr>
          <w:rFonts w:ascii="Century Gothic" w:hAnsi="Century Gothic" w:cs="Calibri"/>
        </w:rPr>
        <w:t xml:space="preserve"> requests</w:t>
      </w:r>
      <w:r>
        <w:rPr>
          <w:rFonts w:ascii="Century Gothic" w:hAnsi="Century Gothic" w:cs="Calibri"/>
        </w:rPr>
        <w:t xml:space="preserve"> elimination of condition of approval to paint </w:t>
      </w:r>
      <w:r w:rsidR="00DF6E15">
        <w:rPr>
          <w:rFonts w:ascii="Century Gothic" w:hAnsi="Century Gothic" w:cs="Calibri"/>
        </w:rPr>
        <w:t>vinyl</w:t>
      </w:r>
      <w:r>
        <w:rPr>
          <w:rFonts w:ascii="Century Gothic" w:hAnsi="Century Gothic" w:cs="Calibri"/>
        </w:rPr>
        <w:t xml:space="preserve"> window casings.</w:t>
      </w:r>
    </w:p>
    <w:p w14:paraId="1B409A12" w14:textId="635A54EC" w:rsidR="008A539D" w:rsidRDefault="002B5866" w:rsidP="00356E59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 w:cs="Calibri"/>
        </w:rPr>
        <w:br/>
      </w:r>
      <w:r w:rsidR="004A66AD"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18636C06" w14:textId="77777777" w:rsidR="00D034DA" w:rsidRDefault="00D034DA" w:rsidP="00356E59">
      <w:pPr>
        <w:pStyle w:val="BodyText"/>
        <w:spacing w:after="0"/>
        <w:rPr>
          <w:rFonts w:ascii="Century Gothic" w:hAnsi="Century Gothic"/>
        </w:rPr>
      </w:pPr>
    </w:p>
    <w:p w14:paraId="3933E098" w14:textId="725F4299" w:rsidR="003F5D77" w:rsidRPr="003F5D77" w:rsidRDefault="002B5866" w:rsidP="00356E59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 w:cs="Calibri"/>
          <w:b/>
        </w:rPr>
        <w:t xml:space="preserve">Architectural </w:t>
      </w:r>
      <w:r w:rsidR="004D146E">
        <w:rPr>
          <w:rFonts w:ascii="Century Gothic" w:hAnsi="Century Gothic" w:cs="Calibri"/>
          <w:b/>
        </w:rPr>
        <w:t>Survey Update</w:t>
      </w:r>
      <w:r w:rsidR="006E6D0C">
        <w:rPr>
          <w:rFonts w:ascii="Century Gothic" w:hAnsi="Century Gothic" w:cs="Calibri"/>
          <w:b/>
        </w:rPr>
        <w:t>:</w:t>
      </w:r>
      <w:r w:rsidR="004D146E">
        <w:rPr>
          <w:rFonts w:ascii="Century Gothic" w:hAnsi="Century Gothic" w:cs="Calibri"/>
          <w:b/>
        </w:rPr>
        <w:t xml:space="preserve"> </w:t>
      </w:r>
      <w:r w:rsidR="004D146E">
        <w:rPr>
          <w:rFonts w:ascii="Century Gothic" w:hAnsi="Century Gothic" w:cs="Calibri"/>
        </w:rPr>
        <w:t xml:space="preserve">Conversation regarding a survey to provide an updated inventory of historic properties, their </w:t>
      </w:r>
      <w:r>
        <w:rPr>
          <w:rFonts w:ascii="Century Gothic" w:hAnsi="Century Gothic" w:cs="Calibri"/>
        </w:rPr>
        <w:t xml:space="preserve">contribution </w:t>
      </w:r>
      <w:r w:rsidR="004D146E">
        <w:rPr>
          <w:rFonts w:ascii="Century Gothic" w:hAnsi="Century Gothic" w:cs="Calibri"/>
        </w:rPr>
        <w:t>status, and the potential for adjustments to the bou</w:t>
      </w:r>
      <w:r w:rsidR="006E6D0C">
        <w:rPr>
          <w:rFonts w:ascii="Century Gothic" w:hAnsi="Century Gothic" w:cs="Calibri"/>
        </w:rPr>
        <w:t>ndaries of th</w:t>
      </w:r>
      <w:r>
        <w:rPr>
          <w:rFonts w:ascii="Century Gothic" w:hAnsi="Century Gothic" w:cs="Calibri"/>
        </w:rPr>
        <w:t xml:space="preserve">e </w:t>
      </w:r>
      <w:r w:rsidR="00172F56">
        <w:rPr>
          <w:rFonts w:ascii="Century Gothic" w:hAnsi="Century Gothic" w:cs="Calibri"/>
        </w:rPr>
        <w:t xml:space="preserve">Greenfield </w:t>
      </w:r>
      <w:r>
        <w:rPr>
          <w:rFonts w:ascii="Century Gothic" w:hAnsi="Century Gothic" w:cs="Calibri"/>
        </w:rPr>
        <w:t>Historic District</w:t>
      </w:r>
      <w:r w:rsidR="006E6D0C">
        <w:rPr>
          <w:rFonts w:ascii="Century Gothic" w:hAnsi="Century Gothic" w:cs="Calibri"/>
        </w:rPr>
        <w:t>.  Greenfield Main Street and Greenfield Historic Landmarks invited to participate.</w:t>
      </w:r>
      <w:r w:rsidR="004D146E">
        <w:rPr>
          <w:rFonts w:ascii="Century Gothic" w:hAnsi="Century Gothic" w:cs="Calibri"/>
        </w:rPr>
        <w:br/>
      </w:r>
      <w:r w:rsidR="004D146E">
        <w:rPr>
          <w:rFonts w:ascii="Century Gothic" w:hAnsi="Century Gothic" w:cs="Calibri"/>
        </w:rPr>
        <w:br/>
      </w:r>
      <w:r w:rsidR="006E6D0C">
        <w:rPr>
          <w:rFonts w:ascii="Century Gothic" w:hAnsi="Century Gothic" w:cs="Calibri"/>
          <w:b/>
        </w:rPr>
        <w:t xml:space="preserve">Active Engagement and Educational Opportunities: </w:t>
      </w:r>
      <w:r w:rsidR="006E6D0C">
        <w:rPr>
          <w:rFonts w:ascii="Century Gothic" w:hAnsi="Century Gothic" w:cs="Calibri"/>
        </w:rPr>
        <w:t xml:space="preserve">Conversation regarding the active engagement of the community and </w:t>
      </w:r>
      <w:r w:rsidR="00682EF4">
        <w:rPr>
          <w:rFonts w:ascii="Century Gothic" w:hAnsi="Century Gothic" w:cs="Calibri"/>
        </w:rPr>
        <w:t xml:space="preserve">various </w:t>
      </w:r>
      <w:r w:rsidR="006E6D0C">
        <w:rPr>
          <w:rFonts w:ascii="Century Gothic" w:hAnsi="Century Gothic" w:cs="Calibri"/>
        </w:rPr>
        <w:t xml:space="preserve">boards in an </w:t>
      </w:r>
      <w:r w:rsidR="00682EF4">
        <w:rPr>
          <w:rFonts w:ascii="Century Gothic" w:hAnsi="Century Gothic" w:cs="Calibri"/>
        </w:rPr>
        <w:t>E</w:t>
      </w:r>
      <w:r w:rsidR="006E6D0C">
        <w:rPr>
          <w:rFonts w:ascii="Century Gothic" w:hAnsi="Century Gothic" w:cs="Calibri"/>
        </w:rPr>
        <w:t xml:space="preserve">ducational </w:t>
      </w:r>
      <w:r w:rsidR="00682EF4">
        <w:rPr>
          <w:rFonts w:ascii="Century Gothic" w:hAnsi="Century Gothic" w:cs="Calibri"/>
        </w:rPr>
        <w:t>O</w:t>
      </w:r>
      <w:r w:rsidR="006E6D0C">
        <w:rPr>
          <w:rFonts w:ascii="Century Gothic" w:hAnsi="Century Gothic" w:cs="Calibri"/>
        </w:rPr>
        <w:t xml:space="preserve">utreach </w:t>
      </w:r>
      <w:r w:rsidR="00682EF4">
        <w:rPr>
          <w:rFonts w:ascii="Century Gothic" w:hAnsi="Century Gothic" w:cs="Calibri"/>
        </w:rPr>
        <w:t>I</w:t>
      </w:r>
      <w:r w:rsidR="006E6D0C">
        <w:rPr>
          <w:rFonts w:ascii="Century Gothic" w:hAnsi="Century Gothic" w:cs="Calibri"/>
        </w:rPr>
        <w:t>nitiative to be r</w:t>
      </w:r>
      <w:r w:rsidR="00DF6E15">
        <w:rPr>
          <w:rFonts w:ascii="Century Gothic" w:hAnsi="Century Gothic" w:cs="Calibri"/>
        </w:rPr>
        <w:t>a</w:t>
      </w:r>
      <w:r w:rsidR="006E6D0C">
        <w:rPr>
          <w:rFonts w:ascii="Century Gothic" w:hAnsi="Century Gothic" w:cs="Calibri"/>
        </w:rPr>
        <w:t>n in conjunction with the Comprehensive Plan Update</w:t>
      </w:r>
      <w:r w:rsidR="00E42F49">
        <w:rPr>
          <w:rFonts w:ascii="Century Gothic" w:hAnsi="Century Gothic" w:cs="Calibri"/>
        </w:rPr>
        <w:t xml:space="preserve"> in 2024</w:t>
      </w:r>
      <w:r w:rsidR="006E6D0C">
        <w:rPr>
          <w:rFonts w:ascii="Century Gothic" w:hAnsi="Century Gothic" w:cs="Calibri"/>
        </w:rPr>
        <w:t>.  Greenfield Main Street and Greenfield Historic Landmarks invited to participate.</w:t>
      </w:r>
      <w:r w:rsidR="004D146E">
        <w:rPr>
          <w:rFonts w:ascii="Century Gothic" w:hAnsi="Century Gothic" w:cs="Calibri"/>
        </w:rPr>
        <w:br/>
      </w:r>
    </w:p>
    <w:p w14:paraId="163C0CD3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C4B9D2" w14:textId="77777777" w:rsidR="006C32C8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4E19657C" w14:textId="77777777" w:rsidR="002F74EC" w:rsidRPr="00AF18EB" w:rsidRDefault="002F74EC" w:rsidP="008A539D">
      <w:pPr>
        <w:pStyle w:val="BodyText"/>
        <w:spacing w:after="0"/>
        <w:rPr>
          <w:rFonts w:ascii="Century Gothic" w:hAnsi="Century Gothic"/>
          <w:b/>
        </w:rPr>
      </w:pPr>
    </w:p>
    <w:p w14:paraId="3F5728BA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0DC249E1" w14:textId="77777777"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FB6C" w14:textId="77777777" w:rsidR="00183DC4" w:rsidRDefault="00183DC4">
      <w:r>
        <w:separator/>
      </w:r>
    </w:p>
  </w:endnote>
  <w:endnote w:type="continuationSeparator" w:id="0">
    <w:p w14:paraId="21BBF512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0BF5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78FF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2C65A076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FC33" w14:textId="77777777" w:rsidR="00183DC4" w:rsidRDefault="00183DC4">
      <w:r>
        <w:separator/>
      </w:r>
    </w:p>
  </w:footnote>
  <w:footnote w:type="continuationSeparator" w:id="0">
    <w:p w14:paraId="284CF1B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5EFA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3715049" wp14:editId="3D21EBD1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886D72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42DB72F9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A5EA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9608EF6" wp14:editId="68594BA1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ADE583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E4AB4D3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76646">
    <w:abstractNumId w:val="5"/>
  </w:num>
  <w:num w:numId="2" w16cid:durableId="372341758">
    <w:abstractNumId w:val="6"/>
  </w:num>
  <w:num w:numId="3" w16cid:durableId="1262883043">
    <w:abstractNumId w:val="8"/>
  </w:num>
  <w:num w:numId="4" w16cid:durableId="1289162850">
    <w:abstractNumId w:val="4"/>
  </w:num>
  <w:num w:numId="5" w16cid:durableId="11609111">
    <w:abstractNumId w:val="3"/>
  </w:num>
  <w:num w:numId="6" w16cid:durableId="1924757198">
    <w:abstractNumId w:val="7"/>
  </w:num>
  <w:num w:numId="7" w16cid:durableId="544803306">
    <w:abstractNumId w:val="0"/>
  </w:num>
  <w:num w:numId="8" w16cid:durableId="1433864158">
    <w:abstractNumId w:val="1"/>
  </w:num>
  <w:num w:numId="9" w16cid:durableId="139152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0469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1B80"/>
    <w:rsid w:val="0005744D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72F56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05ED"/>
    <w:rsid w:val="002754D6"/>
    <w:rsid w:val="00276B09"/>
    <w:rsid w:val="002937A4"/>
    <w:rsid w:val="00295F17"/>
    <w:rsid w:val="002B09B6"/>
    <w:rsid w:val="002B2435"/>
    <w:rsid w:val="002B5866"/>
    <w:rsid w:val="002B5EF8"/>
    <w:rsid w:val="002D6BFC"/>
    <w:rsid w:val="002E70E5"/>
    <w:rsid w:val="002F74EC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3F5D77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146E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2EF4"/>
    <w:rsid w:val="00687839"/>
    <w:rsid w:val="006A1C2D"/>
    <w:rsid w:val="006B3D80"/>
    <w:rsid w:val="006C32C8"/>
    <w:rsid w:val="006C726C"/>
    <w:rsid w:val="006E6D0C"/>
    <w:rsid w:val="006F3793"/>
    <w:rsid w:val="006F5546"/>
    <w:rsid w:val="00713552"/>
    <w:rsid w:val="00713B9E"/>
    <w:rsid w:val="007306BB"/>
    <w:rsid w:val="00733FDB"/>
    <w:rsid w:val="007404C6"/>
    <w:rsid w:val="007517F6"/>
    <w:rsid w:val="00763328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1A65"/>
    <w:rsid w:val="008A539D"/>
    <w:rsid w:val="008B069E"/>
    <w:rsid w:val="008B7023"/>
    <w:rsid w:val="008C3B68"/>
    <w:rsid w:val="008C5795"/>
    <w:rsid w:val="008E1EED"/>
    <w:rsid w:val="008E7218"/>
    <w:rsid w:val="00910DE9"/>
    <w:rsid w:val="00911C28"/>
    <w:rsid w:val="00915015"/>
    <w:rsid w:val="009228D2"/>
    <w:rsid w:val="00944B5A"/>
    <w:rsid w:val="00951540"/>
    <w:rsid w:val="009D2C97"/>
    <w:rsid w:val="009D66DF"/>
    <w:rsid w:val="009E338F"/>
    <w:rsid w:val="009F3E58"/>
    <w:rsid w:val="00A0179C"/>
    <w:rsid w:val="00A07321"/>
    <w:rsid w:val="00A47A64"/>
    <w:rsid w:val="00A53DA3"/>
    <w:rsid w:val="00A53F7D"/>
    <w:rsid w:val="00A73961"/>
    <w:rsid w:val="00A908C1"/>
    <w:rsid w:val="00AA5E5F"/>
    <w:rsid w:val="00AB6915"/>
    <w:rsid w:val="00AD76EF"/>
    <w:rsid w:val="00AF18EB"/>
    <w:rsid w:val="00B102B4"/>
    <w:rsid w:val="00B14E34"/>
    <w:rsid w:val="00B25E5B"/>
    <w:rsid w:val="00B33C5D"/>
    <w:rsid w:val="00B64E55"/>
    <w:rsid w:val="00B762CC"/>
    <w:rsid w:val="00B8177F"/>
    <w:rsid w:val="00BB31A5"/>
    <w:rsid w:val="00BB389A"/>
    <w:rsid w:val="00BB5C05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034DA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F6E15"/>
    <w:rsid w:val="00DF6F1F"/>
    <w:rsid w:val="00E01E00"/>
    <w:rsid w:val="00E17225"/>
    <w:rsid w:val="00E23CDC"/>
    <w:rsid w:val="00E305D0"/>
    <w:rsid w:val="00E40510"/>
    <w:rsid w:val="00E42F49"/>
    <w:rsid w:val="00E50010"/>
    <w:rsid w:val="00E61400"/>
    <w:rsid w:val="00E63881"/>
    <w:rsid w:val="00E81E39"/>
    <w:rsid w:val="00E8392C"/>
    <w:rsid w:val="00E95918"/>
    <w:rsid w:val="00EC0ADF"/>
    <w:rsid w:val="00EF1F1E"/>
    <w:rsid w:val="00EF3143"/>
    <w:rsid w:val="00EF6BBA"/>
    <w:rsid w:val="00F06207"/>
    <w:rsid w:val="00F1490A"/>
    <w:rsid w:val="00F15DE9"/>
    <w:rsid w:val="00F173B2"/>
    <w:rsid w:val="00F2115E"/>
    <w:rsid w:val="00F22072"/>
    <w:rsid w:val="00F301F5"/>
    <w:rsid w:val="00F444F8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9B69CC8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51</TotalTime>
  <Pages>1</Pages>
  <Words>208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Joan Fitzwater</cp:lastModifiedBy>
  <cp:revision>3</cp:revision>
  <cp:lastPrinted>2022-09-27T15:33:00Z</cp:lastPrinted>
  <dcterms:created xsi:type="dcterms:W3CDTF">2023-10-05T17:18:00Z</dcterms:created>
  <dcterms:modified xsi:type="dcterms:W3CDTF">2023-10-27T18:29:00Z</dcterms:modified>
</cp:coreProperties>
</file>