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jpeg" ContentType="image/jpeg"/>
  <Override PartName="/word/media/image4.png" ContentType="image/png"/>
  <Override PartName="/word/media/image21.png" ContentType="image/png"/>
  <Override PartName="/word/media/image6.jpeg" ContentType="image/jpeg"/>
  <Override PartName="/word/media/image5.jpeg" ContentType="image/jpeg"/>
  <Override PartName="/word/media/image11.png" ContentType="image/png"/>
  <Override PartName="/word/media/image8.jpeg" ContentType="image/jpeg"/>
  <Override PartName="/word/media/image9.jpeg" ContentType="image/jpe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asciiTheme="minorHAnsi" w:hAnsiTheme="minorHAnsi"/>
          <w:sz w:val="32"/>
          <w:szCs w:val="32"/>
        </w:rPr>
      </w:pPr>
      <w:r>
        <w:rPr>
          <w:rFonts w:ascii="Calibri" w:hAnsi="Calibri" w:asciiTheme="minorHAnsi" w:hAnsiTheme="minorHAnsi"/>
          <w:sz w:val="32"/>
          <w:szCs w:val="32"/>
        </w:rPr>
        <w:t>ORDINANCE NO. 2023/28</w:t>
      </w:r>
    </w:p>
    <w:p>
      <w:pPr>
        <w:pStyle w:val="Normal"/>
        <w:jc w:val="center"/>
        <w:rPr>
          <w:rFonts w:ascii="Calibri" w:hAnsi="Calibri" w:asciiTheme="minorHAnsi" w:hAnsiTheme="minorHAnsi"/>
          <w:sz w:val="22"/>
          <w:szCs w:val="22"/>
        </w:rPr>
      </w:pPr>
      <w:r>
        <w:rPr>
          <w:rFonts w:asciiTheme="minorHAnsi" w:hAnsiTheme="minorHAnsi" w:ascii="Calibri" w:hAnsi="Calibri"/>
          <w:sz w:val="22"/>
          <w:szCs w:val="22"/>
        </w:rPr>
      </w:r>
    </w:p>
    <w:p>
      <w:pPr>
        <w:pStyle w:val="Normal"/>
        <w:jc w:val="center"/>
        <w:rPr>
          <w:rFonts w:ascii="Calibri" w:hAnsi="Calibri" w:asciiTheme="minorHAnsi" w:hAnsiTheme="minorHAnsi"/>
          <w:sz w:val="22"/>
          <w:szCs w:val="22"/>
        </w:rPr>
      </w:pPr>
      <w:r>
        <w:rPr>
          <w:rFonts w:ascii="Calibri" w:hAnsi="Calibri" w:asciiTheme="minorHAnsi" w:hAnsiTheme="minorHAnsi"/>
          <w:sz w:val="22"/>
          <w:szCs w:val="22"/>
        </w:rPr>
        <w:t>AN ORDINANC</w:t>
      </w:r>
      <w:bookmarkStart w:id="0" w:name="_GoBack"/>
      <w:bookmarkEnd w:id="0"/>
      <w:r>
        <w:rPr>
          <w:rFonts w:ascii="Calibri" w:hAnsi="Calibri" w:asciiTheme="minorHAnsi" w:hAnsiTheme="minorHAnsi"/>
          <w:sz w:val="22"/>
          <w:szCs w:val="22"/>
        </w:rPr>
        <w:t>E AMENDING THE</w:t>
      </w:r>
    </w:p>
    <w:p>
      <w:pPr>
        <w:pStyle w:val="Normal"/>
        <w:jc w:val="center"/>
        <w:rPr>
          <w:rFonts w:ascii="Calibri" w:hAnsi="Calibri" w:asciiTheme="minorHAnsi" w:hAnsiTheme="minorHAnsi"/>
          <w:sz w:val="22"/>
          <w:szCs w:val="22"/>
        </w:rPr>
      </w:pPr>
      <w:r>
        <w:rPr>
          <w:rFonts w:ascii="Calibri" w:hAnsi="Calibri" w:asciiTheme="minorHAnsi" w:hAnsiTheme="minorHAnsi"/>
          <w:sz w:val="22"/>
          <w:szCs w:val="22"/>
        </w:rPr>
        <w:t>ZONING CODE OF GREENFIELD, INDIANA</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BE IT ORDAINED BY THE COMMON COUNCIL OF THE CITY OF GREENFIELD, INDIANA, UNDER AUTHORITY OF THE INDIANA ADVISORY PLANNING LAW, I.C. §36-7-4, AND ALL ACTS AMENDATORY OR SUPPLEMENTAL THERETO.</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center"/>
        <w:rPr>
          <w:rFonts w:ascii="Calibri" w:hAnsi="Calibri" w:asciiTheme="minorHAnsi" w:hAnsiTheme="minorHAnsi"/>
          <w:sz w:val="22"/>
          <w:szCs w:val="22"/>
        </w:rPr>
      </w:pPr>
      <w:r>
        <w:rPr>
          <w:rFonts w:ascii="Calibri" w:hAnsi="Calibri" w:asciiTheme="minorHAnsi" w:hAnsiTheme="minorHAnsi"/>
          <w:sz w:val="22"/>
          <w:szCs w:val="22"/>
          <w:u w:val="single"/>
        </w:rPr>
        <w:t>SECTION I.</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ab/>
        <w:t>That Section 155.006 ZONE MAP of the Greenfield UDO, Chapter 155 of the CODE OF ORDIANCES OF GREENFIELD, INDIANA, is amended as follows:</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ab/>
        <w:t>The Zone Map referred to in Section 155.006, known as the ZONE MAP, GREENFIELD, INDIANA-2020, as amended, and referred to as the “Official Zone Map” is hereby amended by reclassifying the following described area to the “PUD” Planned Unit Development District:</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jc w:val="both"/>
        <w:rPr>
          <w:rFonts w:ascii="Calibri" w:hAnsi="Calibri" w:eastAsia="Calibri" w:cs="Courier New" w:asciiTheme="minorHAnsi" w:eastAsiaTheme="minorHAnsi" w:hAnsiTheme="minorHAnsi"/>
          <w:sz w:val="22"/>
          <w:szCs w:val="22"/>
          <w:u w:val="single"/>
        </w:rPr>
      </w:pPr>
      <w:r>
        <w:rPr>
          <w:rFonts w:eastAsia="Calibri" w:cs="Courier New" w:ascii="Calibri" w:hAnsi="Calibri" w:asciiTheme="minorHAnsi" w:eastAsiaTheme="minorHAnsi" w:hAnsiTheme="minorHAnsi"/>
          <w:sz w:val="22"/>
          <w:szCs w:val="22"/>
          <w:u w:val="single"/>
        </w:rPr>
        <w:t>Legal Description</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PART OF THE SOUTHWEST QUARTER OF SECTION 5, TOWNSHIP 15 NORTH, RANGE 7 EAST, SITUATED IN CENTER TOWNSHIP, HANCOCK COUNTY, INDIANA, AND BEING MORE PARTICULARLY DESCRIBED AS FOLLOWS:</w:t>
      </w:r>
    </w:p>
    <w:p>
      <w:pPr>
        <w:pStyle w:val="Normal"/>
        <w:jc w:val="both"/>
        <w:rPr>
          <w:rFonts w:ascii="Calibri" w:hAnsi="Calibri" w:asciiTheme="minorHAnsi" w:hAnsiTheme="minorHAnsi"/>
          <w:sz w:val="22"/>
          <w:szCs w:val="22"/>
        </w:rPr>
      </w:pPr>
      <w:r>
        <w:rPr>
          <w:rFonts w:ascii="Calibri" w:hAnsi="Calibri" w:asciiTheme="minorHAnsi" w:hAnsiTheme="minorHAnsi"/>
          <w:sz w:val="22"/>
          <w:szCs w:val="22"/>
        </w:rPr>
        <w:t xml:space="preserve">COMMENCING AT A BRASS PLUG FOUND AT THE SOUTHWEST CORNER OF SAID SOUTHWEST QUARTER, THENCE ALONG THE SOUTH LINE THEREOF SOUTH 89 DEGREES 34 MINUTES 47 SECONDS EAST 94.75 FEET TO THE SOUTHEAST CORNER OF THE LAND OF THE CITY OF GREENFIELD AS DESCRIBED IN INSTRUMENT NUMBER 201400535 IN THE OFFICE OF THE RECORDER OF HANCOCK COUNTY, INDIANA, AND THE </w:t>
      </w:r>
      <w:r>
        <w:rPr>
          <w:rFonts w:ascii="Calibri" w:hAnsi="Calibri" w:asciiTheme="minorHAnsi" w:hAnsiTheme="minorHAnsi"/>
          <w:b/>
          <w:bCs/>
          <w:sz w:val="22"/>
          <w:szCs w:val="22"/>
        </w:rPr>
        <w:t>POINT OF BEGINNING</w:t>
      </w:r>
      <w:r>
        <w:rPr>
          <w:rFonts w:ascii="Calibri" w:hAnsi="Calibri" w:asciiTheme="minorHAnsi" w:hAnsiTheme="minorHAnsi"/>
          <w:sz w:val="22"/>
          <w:szCs w:val="22"/>
        </w:rPr>
        <w:t xml:space="preserve">; THENCE ON AND ALONG THE PERIMETER OF SAID INSTRUMENT NUMBER 201400535 FOR THE FOLLOWING FIVE (5) COURSES; (1) THENCE NORTH 00 DEGREES 12 MINUTES 26 SECONDS EAST 10.38 FEET; (2) THENCE NORTH 50 DEGREES 07 MINUTES 47 SECONDS WEST 79.86 FEET; (3) THENCE PARALLEL WITH THE WEST LINE OF SAID SOUTHWEST QUARTER NORTH 01 DEGREES 25 MINUTES 39 SECONDS WEST 90.00 FEET; (4) THENCE SOUTH 88 DEGREES 34 MINUTES 21 SECONDS WEST 5.00 FEET; (5) THENCE PARALLEL WITH THE WEST LINE OF SAID SOUTHWEST QUARTER NORTH 01 DEGREES 25 MINUTES 39 SECONDS WEST 1187.45 FEET TO A POINT ON THE NORTH LINE OF THE SOUTHWEST QUARTER OF SAID SOUTHWEST QUARTER; THENCE ON AND ALONG SAID NORTH LINE SOUTH 89 DEGREES 31 MINUTES 41 SECONDS EAST 1073.47 FEET TO A NORTHWESTERLY CORNER OF MCKEE WOODS SECTION 1, RECORDED AS INSTRUMENT NUMBER 201803685 IN SAID RECORDER’S OFFICE; THENCE ON AND ALONG THE PERIMETER OF SAID MCKEE WOODS SECTION 1 FOR THE FOLLOWING THREE (3) COURSES; (1) THENCE CONTINUING SOUTH 89 DEGREES 31 MINUTES 41 SECONDS EAST 200.00 FEET; (2) THENCE NORTH 01 DEGREES 05 MINUTES 30 SECONDS WEST 79.76 FEET; (3) THENCE SOUTH 89 DEGREES 34 MINUTES 44 SECONDS EAST 432.10 FEET TO THE NORTHEAST CORNER OF SAID MCKEE WOODS SECTION 1; THENCE CONTINUING SOUTH 89 DEGREES 34 MINUTES 44 SECONDS EAST  578.49 FEET TO THE NORTHWEST CORNER OF THE LAND OF MATTHEW &amp; KIMBERLY McKEE AS DESCRIBED IN INSTRUMENT NUMBER 9914176 IN SAID RECORDER’S OFFICE; THENCE ALONG THE EAST LINE THEREOF SOUTH 00 DEGREES 25 MINUTES 13 SECONDS WEST 345.10 FEET TO A POINT ON THE NORTH LINE OF WHITCOMB MEADOWS SECTION 4 AS DESCRIBED IN INSTRUMENT NUMBER 9410999 IN SAID RECORDER’S OFFICE; THENCE ALONG SAID NORTH LINE AND ITS WESTERLY EXTENSION NORTH 89 DEGREES 34 MINUTES 47 SECONDS WEST 371.74 FEET; THENCE SOUTH 01 DEGREE 21 MINUTES 52 SECONDS EAST 1071.74 FEET TO A POINT ON THE SOUTH LINE OF SAID SECTION 5; THENCE ON AND ALONG SAID SOUTH LINE NORTH 89 DEGREES 34 MINUTES 47 SECONDS WEST 1835.71 FEET TO THE </w:t>
      </w:r>
      <w:r>
        <w:rPr>
          <w:rFonts w:ascii="Calibri" w:hAnsi="Calibri" w:asciiTheme="minorHAnsi" w:hAnsiTheme="minorHAnsi"/>
          <w:b/>
          <w:bCs/>
          <w:sz w:val="22"/>
          <w:szCs w:val="22"/>
        </w:rPr>
        <w:t>POINT OF BEGINNING</w:t>
      </w:r>
      <w:r>
        <w:rPr>
          <w:rFonts w:ascii="Calibri" w:hAnsi="Calibri" w:asciiTheme="minorHAnsi" w:hAnsiTheme="minorHAnsi"/>
          <w:sz w:val="22"/>
          <w:szCs w:val="22"/>
        </w:rPr>
        <w:t>, CONTAINING 62.42 ACRES, MORE OR LESS.</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mc:AlternateContent>
          <mc:Choice Requires="wps">
            <w:drawing>
              <wp:anchor behindDoc="0" distT="0" distB="0" distL="0" distR="0" simplePos="0" locked="0" layoutInCell="0" allowOverlap="1" relativeHeight="25" wp14:anchorId="508F5BB8">
                <wp:simplePos x="0" y="0"/>
                <wp:positionH relativeFrom="column">
                  <wp:posOffset>0</wp:posOffset>
                </wp:positionH>
                <wp:positionV relativeFrom="paragraph">
                  <wp:posOffset>4940935</wp:posOffset>
                </wp:positionV>
                <wp:extent cx="6019800" cy="76200"/>
                <wp:effectExtent l="0" t="0" r="0" b="0"/>
                <wp:wrapNone/>
                <wp:docPr id="1" name="Rectangle 10"/>
                <a:graphic xmlns:a="http://schemas.openxmlformats.org/drawingml/2006/main">
                  <a:graphicData uri="http://schemas.microsoft.com/office/word/2010/wordprocessingShape">
                    <wps:wsp>
                      <wps:cNvSpPr/>
                      <wps:spPr>
                        <a:xfrm>
                          <a:off x="0" y="0"/>
                          <a:ext cx="6019920" cy="7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0" path="m0,0l-2147483645,0l-2147483645,-2147483646l0,-2147483646xe" fillcolor="white" stroked="f" o:allowincell="f" style="position:absolute;margin-left:0pt;margin-top:389.05pt;width:473.95pt;height:5.95pt;mso-wrap-style:none;v-text-anchor:middle" wp14:anchorId="508F5BB8">
                <v:fill o:detectmouseclick="t" type="solid" color2="black"/>
                <v:stroke color="#3465a4" weight="25560" joinstyle="round" endcap="flat"/>
                <w10:wrap type="none"/>
              </v:rect>
            </w:pict>
          </mc:Fallback>
        </mc:AlternateContent>
      </w:r>
    </w:p>
    <w:p>
      <w:pPr>
        <w:pStyle w:val="Normal"/>
        <w:jc w:val="both"/>
        <w:rPr>
          <w:rFonts w:ascii="Calibri" w:hAnsi="Calibri" w:cs="Courier New" w:asciiTheme="minorHAnsi" w:hAnsiTheme="minorHAnsi"/>
          <w:sz w:val="22"/>
          <w:szCs w:val="22"/>
        </w:rPr>
      </w:pPr>
      <w:r>
        <w:rPr>
          <w:rFonts w:ascii="Calibri" w:hAnsi="Calibri" w:asciiTheme="minorHAnsi" w:hAnsiTheme="minorHAnsi"/>
          <w:sz w:val="22"/>
          <w:szCs w:val="22"/>
        </w:rPr>
        <w:t>The above-described real estate shall be developed in accordance with the terms, conditions and statements of the Parkrose Planned Unit Development Statement attached hereto as Exhibit 1, and by reference the Planned Unit Development Statement are incorporated herein.</w:t>
      </w:r>
    </w:p>
    <w:p>
      <w:pPr>
        <w:pStyle w:val="Normal"/>
        <w:jc w:val="both"/>
        <w:rPr>
          <w:rFonts w:ascii="Calibri" w:hAnsi="Calibri" w:asciiTheme="minorHAnsi" w:hAnsiTheme="minorHAnsi"/>
          <w:sz w:val="22"/>
          <w:szCs w:val="22"/>
        </w:rPr>
      </w:pPr>
      <w:r>
        <w:rPr>
          <w:rFonts w:asciiTheme="minorHAnsi" w:hAnsiTheme="minorHAnsi" w:ascii="Calibri" w:hAnsi="Calibri"/>
          <w:sz w:val="22"/>
          <w:szCs w:val="22"/>
        </w:rPr>
      </w:r>
    </w:p>
    <w:p>
      <w:pPr>
        <w:pStyle w:val="Normal"/>
        <w:rPr>
          <w:rFonts w:ascii="Calibri" w:hAnsi="Calibri" w:eastAsia="Calibri" w:cs="Calibri"/>
          <w:b/>
          <w:b/>
          <w:color w:val="17365D"/>
          <w:spacing w:val="6"/>
          <w:w w:val="99"/>
          <w:sz w:val="40"/>
          <w:szCs w:val="40"/>
        </w:rPr>
      </w:pPr>
      <w:r>
        <w:rPr>
          <w:rFonts w:eastAsia="Calibri" w:cs="Calibri" w:ascii="Calibri" w:hAnsi="Calibri"/>
          <w:b/>
          <w:color w:val="17365D"/>
          <w:spacing w:val="6"/>
          <w:w w:val="99"/>
          <w:sz w:val="40"/>
          <w:szCs w:val="40"/>
        </w:rPr>
      </w:r>
      <w:r>
        <w:br w:type="page"/>
      </w:r>
    </w:p>
    <w:p>
      <w:pPr>
        <w:pStyle w:val="Normal"/>
        <w:spacing w:lineRule="exact" w:line="609" w:before="11" w:after="0"/>
        <w:ind w:left="112" w:right="-20" w:hanging="0"/>
        <w:rPr>
          <w:rFonts w:ascii="Calibri" w:hAnsi="Calibri" w:eastAsia="Calibri" w:cs="Calibri"/>
          <w:b/>
          <w:b/>
          <w:sz w:val="40"/>
          <w:szCs w:val="40"/>
        </w:rPr>
      </w:pPr>
      <w:r>
        <mc:AlternateContent>
          <mc:Choice Requires="wpg">
            <w:drawing>
              <wp:anchor behindDoc="1" distT="0" distB="17780" distL="0" distR="20320" simplePos="0" locked="0" layoutInCell="0" allowOverlap="1" relativeHeight="26" wp14:anchorId="25A50016">
                <wp:simplePos x="0" y="0"/>
                <wp:positionH relativeFrom="page">
                  <wp:posOffset>1132205</wp:posOffset>
                </wp:positionH>
                <wp:positionV relativeFrom="paragraph">
                  <wp:posOffset>467995</wp:posOffset>
                </wp:positionV>
                <wp:extent cx="5523230" cy="1270"/>
                <wp:effectExtent l="6985" t="6985" r="6350" b="5715"/>
                <wp:wrapNone/>
                <wp:docPr id="2" name="Group 22"/>
                <a:graphic xmlns:a="http://schemas.openxmlformats.org/drawingml/2006/main">
                  <a:graphicData uri="http://schemas.microsoft.com/office/word/2010/wordprocessingGroup">
                    <wpg:wgp>
                      <wpg:cNvGrpSpPr/>
                      <wpg:grpSpPr>
                        <a:xfrm>
                          <a:off x="0" y="0"/>
                          <a:ext cx="5523120" cy="1440"/>
                          <a:chOff x="0" y="0"/>
                          <a:chExt cx="5523120" cy="1440"/>
                        </a:xfrm>
                      </wpg:grpSpPr>
                      <wps:wsp>
                        <wps:cNvSpPr/>
                        <wps:spPr>
                          <a:xfrm>
                            <a:off x="0" y="0"/>
                            <a:ext cx="5523120" cy="1440"/>
                          </a:xfrm>
                          <a:custGeom>
                            <a:avLst/>
                            <a:gdLst/>
                            <a:ahLst/>
                            <a:rect l="l" t="t" r="r" b="b"/>
                            <a:pathLst>
                              <a:path w="8698" h="0">
                                <a:moveTo>
                                  <a:pt x="0" y="0"/>
                                </a:moveTo>
                                <a:lnTo>
                                  <a:pt x="8697" y="0"/>
                                </a:lnTo>
                              </a:path>
                            </a:pathLst>
                          </a:custGeom>
                          <a:noFill/>
                          <a:ln w="13462">
                            <a:solidFill>
                              <a:srgbClr val="4f81bd"/>
                            </a:solidFill>
                            <a:round/>
                          </a:ln>
                        </wps:spPr>
                        <wps:style>
                          <a:lnRef idx="0"/>
                          <a:fillRef idx="0"/>
                          <a:effectRef idx="0"/>
                          <a:fontRef idx="minor"/>
                        </wps:style>
                        <wps:bodyPr/>
                      </wps:wsp>
                    </wpg:wgp>
                  </a:graphicData>
                </a:graphic>
              </wp:anchor>
            </w:drawing>
          </mc:Choice>
          <mc:Fallback>
            <w:pict>
              <v:group id="shape_0" alt="Group 22" style="position:absolute;margin-left:89.15pt;margin-top:36.85pt;width:434.9pt;height:0.1pt" coordorigin="1783,737" coordsize="8698,2"/>
            </w:pict>
          </mc:Fallback>
        </mc:AlternateContent>
      </w:r>
      <w:r>
        <w:rPr>
          <w:rFonts w:eastAsia="Calibri" w:cs="Calibri" w:ascii="Calibri" w:hAnsi="Calibri"/>
          <w:b/>
          <w:color w:val="17365D"/>
          <w:spacing w:val="6"/>
          <w:w w:val="99"/>
          <w:position w:val="-1"/>
          <w:sz w:val="40"/>
          <w:szCs w:val="40"/>
        </w:rPr>
        <w:t>Parkrose Planned Unit D</w:t>
      </w:r>
      <w:r>
        <w:rPr>
          <w:rFonts w:eastAsia="Calibri" w:cs="Calibri" w:ascii="Calibri" w:hAnsi="Calibri"/>
          <w:b/>
          <w:color w:val="17365D"/>
          <w:spacing w:val="3"/>
          <w:w w:val="99"/>
          <w:position w:val="-1"/>
          <w:sz w:val="40"/>
          <w:szCs w:val="40"/>
        </w:rPr>
        <w:t>e</w:t>
      </w:r>
      <w:r>
        <w:rPr>
          <w:rFonts w:eastAsia="Calibri" w:cs="Calibri" w:ascii="Calibri" w:hAnsi="Calibri"/>
          <w:b/>
          <w:color w:val="17365D"/>
          <w:spacing w:val="1"/>
          <w:w w:val="99"/>
          <w:position w:val="-1"/>
          <w:sz w:val="40"/>
          <w:szCs w:val="40"/>
        </w:rPr>
        <w:t>v</w:t>
      </w:r>
      <w:r>
        <w:rPr>
          <w:rFonts w:eastAsia="Calibri" w:cs="Calibri" w:ascii="Calibri" w:hAnsi="Calibri"/>
          <w:b/>
          <w:color w:val="17365D"/>
          <w:spacing w:val="6"/>
          <w:w w:val="99"/>
          <w:position w:val="-1"/>
          <w:sz w:val="40"/>
          <w:szCs w:val="40"/>
        </w:rPr>
        <w:t>elopme</w:t>
      </w:r>
      <w:r>
        <w:rPr>
          <w:rFonts w:eastAsia="Calibri" w:cs="Calibri" w:ascii="Calibri" w:hAnsi="Calibri"/>
          <w:b/>
          <w:color w:val="17365D"/>
          <w:spacing w:val="1"/>
          <w:w w:val="99"/>
          <w:position w:val="-1"/>
          <w:sz w:val="40"/>
          <w:szCs w:val="40"/>
        </w:rPr>
        <w:t>n</w:t>
      </w:r>
      <w:r>
        <w:rPr>
          <w:rFonts w:eastAsia="Calibri" w:cs="Calibri" w:ascii="Calibri" w:hAnsi="Calibri"/>
          <w:b/>
          <w:color w:val="17365D"/>
          <w:spacing w:val="5"/>
          <w:w w:val="99"/>
          <w:position w:val="-1"/>
          <w:sz w:val="40"/>
          <w:szCs w:val="40"/>
        </w:rPr>
        <w:t>t Statement</w:t>
      </w:r>
      <w:r>
        <w:rPr>
          <w:rFonts w:eastAsia="Calibri" w:cs="Calibri" w:ascii="Calibri" w:hAnsi="Calibri"/>
          <w:b/>
          <w:color w:val="17365D"/>
          <w:w w:val="99"/>
          <w:position w:val="-1"/>
          <w:sz w:val="40"/>
          <w:szCs w:val="40"/>
        </w:rPr>
        <w:t xml:space="preserve"> </w:t>
      </w:r>
    </w:p>
    <w:p>
      <w:pPr>
        <w:pStyle w:val="Normal"/>
        <w:spacing w:lineRule="exact" w:line="200"/>
        <w:rPr>
          <w:b/>
          <w:b/>
          <w:sz w:val="40"/>
          <w:szCs w:val="40"/>
        </w:rPr>
      </w:pPr>
      <w:r>
        <w:rPr>
          <w:b/>
          <w:sz w:val="40"/>
          <w:szCs w:val="40"/>
        </w:rPr>
      </w:r>
    </w:p>
    <w:p>
      <w:pPr>
        <w:pStyle w:val="Normal"/>
        <w:spacing w:lineRule="exact" w:line="200" w:before="1" w:after="0"/>
        <w:rPr>
          <w:sz w:val="20"/>
          <w:szCs w:val="20"/>
        </w:rPr>
      </w:pPr>
      <w:r>
        <w:rPr>
          <w:sz w:val="20"/>
          <w:szCs w:val="20"/>
        </w:rPr>
      </w:r>
    </w:p>
    <w:p>
      <w:pPr>
        <w:pStyle w:val="Normal"/>
        <w:ind w:left="112" w:right="-20" w:hanging="0"/>
        <w:rPr>
          <w:rFonts w:ascii="Calibri" w:hAnsi="Calibri" w:eastAsia="Calibri" w:cs="Calibri"/>
          <w:sz w:val="26"/>
          <w:szCs w:val="26"/>
        </w:rPr>
      </w:pPr>
      <w:r>
        <w:rPr>
          <w:rFonts w:eastAsia="Calibri" w:cs="Calibri" w:ascii="Calibri" w:hAnsi="Calibri"/>
          <w:b/>
          <w:bCs/>
          <w:color w:val="4F81BD"/>
          <w:spacing w:val="1"/>
          <w:w w:val="99"/>
          <w:sz w:val="26"/>
          <w:szCs w:val="26"/>
        </w:rPr>
        <w:t>De</w:t>
      </w:r>
      <w:r>
        <w:rPr>
          <w:rFonts w:eastAsia="Calibri" w:cs="Calibri" w:ascii="Calibri" w:hAnsi="Calibri"/>
          <w:b/>
          <w:bCs/>
          <w:color w:val="4F81BD"/>
          <w:w w:val="99"/>
          <w:sz w:val="26"/>
          <w:szCs w:val="26"/>
        </w:rPr>
        <w:t>v</w:t>
      </w:r>
      <w:r>
        <w:rPr>
          <w:rFonts w:eastAsia="Calibri" w:cs="Calibri" w:ascii="Calibri" w:hAnsi="Calibri"/>
          <w:b/>
          <w:bCs/>
          <w:color w:val="4F81BD"/>
          <w:spacing w:val="1"/>
          <w:w w:val="99"/>
          <w:sz w:val="26"/>
          <w:szCs w:val="26"/>
        </w:rPr>
        <w:t>e</w:t>
      </w:r>
      <w:r>
        <w:rPr>
          <w:rFonts w:eastAsia="Calibri" w:cs="Calibri" w:ascii="Calibri" w:hAnsi="Calibri"/>
          <w:b/>
          <w:bCs/>
          <w:color w:val="4F81BD"/>
          <w:w w:val="99"/>
          <w:sz w:val="26"/>
          <w:szCs w:val="26"/>
        </w:rPr>
        <w:t>lop</w:t>
      </w:r>
      <w:r>
        <w:rPr>
          <w:rFonts w:eastAsia="Calibri" w:cs="Calibri" w:ascii="Calibri" w:hAnsi="Calibri"/>
          <w:b/>
          <w:bCs/>
          <w:color w:val="4F81BD"/>
          <w:spacing w:val="1"/>
          <w:w w:val="99"/>
          <w:sz w:val="26"/>
          <w:szCs w:val="26"/>
        </w:rPr>
        <w:t>me</w:t>
      </w:r>
      <w:r>
        <w:rPr>
          <w:rFonts w:eastAsia="Calibri" w:cs="Calibri" w:ascii="Calibri" w:hAnsi="Calibri"/>
          <w:b/>
          <w:bCs/>
          <w:color w:val="4F81BD"/>
          <w:w w:val="99"/>
          <w:sz w:val="26"/>
          <w:szCs w:val="26"/>
        </w:rPr>
        <w:t xml:space="preserve">nt Standards </w:t>
      </w:r>
    </w:p>
    <w:p>
      <w:pPr>
        <w:pStyle w:val="Normal"/>
        <w:spacing w:lineRule="exact" w:line="260" w:before="18" w:after="0"/>
        <w:rPr>
          <w:sz w:val="26"/>
          <w:szCs w:val="26"/>
        </w:rPr>
      </w:pPr>
      <w:r>
        <w:rPr>
          <w:sz w:val="26"/>
          <w:szCs w:val="26"/>
        </w:rPr>
      </w:r>
    </w:p>
    <w:p>
      <w:pPr>
        <w:pStyle w:val="Normal"/>
        <w:ind w:left="112" w:right="-20" w:hanging="0"/>
        <w:rPr>
          <w:rFonts w:ascii="Arial" w:hAnsi="Arial" w:eastAsia="Arial" w:cs="Arial"/>
          <w:b/>
          <w:b/>
          <w:bCs/>
        </w:rPr>
      </w:pPr>
      <w:r>
        <w:rPr>
          <w:rFonts w:eastAsia="Arial" w:cs="Arial" w:ascii="Arial" w:hAnsi="Arial"/>
          <w:b/>
          <w:bCs/>
          <w:w w:val="93"/>
        </w:rPr>
        <w:t>SECTION</w:t>
      </w:r>
      <w:r>
        <w:rPr>
          <w:rFonts w:eastAsia="Arial" w:cs="Arial" w:ascii="Arial" w:hAnsi="Arial"/>
          <w:b/>
          <w:bCs/>
          <w:spacing w:val="5"/>
          <w:w w:val="93"/>
        </w:rPr>
        <w:t xml:space="preserve"> </w:t>
      </w:r>
      <w:r>
        <w:rPr>
          <w:rFonts w:eastAsia="Arial" w:cs="Arial" w:ascii="Arial" w:hAnsi="Arial"/>
          <w:b/>
          <w:bCs/>
        </w:rPr>
        <w:t>I.</w:t>
      </w:r>
      <w:r>
        <w:rPr>
          <w:rFonts w:eastAsia="Arial" w:cs="Arial" w:ascii="Arial" w:hAnsi="Arial"/>
          <w:b/>
          <w:bCs/>
          <w:spacing w:val="12"/>
        </w:rPr>
        <w:t xml:space="preserve"> </w:t>
      </w:r>
      <w:r>
        <w:rPr>
          <w:rFonts w:eastAsia="Arial" w:cs="Arial" w:ascii="Arial" w:hAnsi="Arial"/>
          <w:b/>
          <w:bCs/>
          <w:w w:val="90"/>
        </w:rPr>
        <w:t>STATEMENT</w:t>
      </w:r>
      <w:r>
        <w:rPr>
          <w:rFonts w:eastAsia="Arial" w:cs="Arial" w:ascii="Arial" w:hAnsi="Arial"/>
          <w:b/>
          <w:bCs/>
          <w:spacing w:val="7"/>
          <w:w w:val="90"/>
        </w:rPr>
        <w:t xml:space="preserve"> </w:t>
      </w:r>
      <w:r>
        <w:rPr>
          <w:rFonts w:eastAsia="Arial" w:cs="Arial" w:ascii="Arial" w:hAnsi="Arial"/>
          <w:b/>
          <w:bCs/>
        </w:rPr>
        <w:t>OF</w:t>
      </w:r>
      <w:r>
        <w:rPr>
          <w:rFonts w:eastAsia="Arial" w:cs="Arial" w:ascii="Arial" w:hAnsi="Arial"/>
          <w:b/>
          <w:bCs/>
          <w:spacing w:val="-17"/>
        </w:rPr>
        <w:t xml:space="preserve"> </w:t>
      </w:r>
      <w:r>
        <w:rPr>
          <w:rFonts w:eastAsia="Arial" w:cs="Arial" w:ascii="Arial" w:hAnsi="Arial"/>
          <w:b/>
          <w:bCs/>
          <w:w w:val="88"/>
        </w:rPr>
        <w:t>PURPOSE</w:t>
      </w:r>
      <w:r>
        <w:rPr>
          <w:rFonts w:eastAsia="Arial" w:cs="Arial" w:ascii="Arial" w:hAnsi="Arial"/>
          <w:b/>
          <w:bCs/>
          <w:spacing w:val="8"/>
          <w:w w:val="88"/>
        </w:rPr>
        <w:t xml:space="preserve"> </w:t>
      </w:r>
      <w:r>
        <w:rPr>
          <w:rFonts w:eastAsia="Arial" w:cs="Arial" w:ascii="Arial" w:hAnsi="Arial"/>
          <w:b/>
          <w:bCs/>
        </w:rPr>
        <w:t>AND</w:t>
      </w:r>
      <w:r>
        <w:rPr>
          <w:rFonts w:eastAsia="Arial" w:cs="Arial" w:ascii="Arial" w:hAnsi="Arial"/>
          <w:b/>
          <w:bCs/>
          <w:spacing w:val="10"/>
        </w:rPr>
        <w:t xml:space="preserve"> </w:t>
      </w:r>
      <w:r>
        <w:rPr>
          <w:rFonts w:eastAsia="Arial" w:cs="Arial" w:ascii="Arial" w:hAnsi="Arial"/>
          <w:b/>
          <w:bCs/>
        </w:rPr>
        <w:t>INTENT:</w:t>
      </w:r>
    </w:p>
    <w:p>
      <w:pPr>
        <w:pStyle w:val="Normal"/>
        <w:ind w:left="112" w:right="-20" w:hanging="0"/>
        <w:rPr>
          <w:rFonts w:ascii="Arial" w:hAnsi="Arial" w:eastAsia="Arial" w:cs="Arial"/>
        </w:rPr>
      </w:pPr>
      <w:r>
        <w:rPr>
          <w:rFonts w:eastAsia="Arial" w:cs="Arial" w:ascii="Arial" w:hAnsi="Arial"/>
        </w:rPr>
      </w:r>
    </w:p>
    <w:p>
      <w:pPr>
        <w:pStyle w:val="Normal"/>
        <w:spacing w:lineRule="exact" w:line="190" w:before="9" w:after="0"/>
        <w:rPr>
          <w:sz w:val="19"/>
          <w:szCs w:val="19"/>
        </w:rPr>
      </w:pPr>
      <w:r>
        <w:rPr>
          <w:sz w:val="19"/>
          <w:szCs w:val="19"/>
        </w:rPr>
      </w:r>
    </w:p>
    <w:p>
      <w:pPr>
        <w:pStyle w:val="Normal"/>
        <w:ind w:left="475" w:right="187" w:hanging="360"/>
        <w:rPr>
          <w:rFonts w:ascii="Arial" w:hAnsi="Arial" w:eastAsia="Arial" w:cs="Arial"/>
        </w:rPr>
      </w:pPr>
      <w:r>
        <w:rPr>
          <w:rFonts w:eastAsia="Arial" w:cs="Arial" w:ascii="Arial" w:hAnsi="Arial"/>
        </w:rPr>
        <w:t xml:space="preserve">A. </w:t>
        <w:tab/>
        <w:t>Parkrose is a planned single-family detached and attached (duplex) community. The primary goal is to provide a single-family detached and attached (duplex-paired patio) community with passive and active open space features, including seating areas at the main pond and an extensive walking trail network. The proposed development standards are intended to carry out the design goals of this planned community. They are written to ensure a unified, quality development and continuity in design.</w:t>
      </w:r>
      <w:r>
        <w:rPr>
          <w:rFonts w:eastAsia="Arial" w:cs="Arial" w:ascii="Arial" w:hAnsi="Arial"/>
          <w:spacing w:val="-18"/>
          <w:w w:val="92"/>
        </w:rPr>
        <w:t xml:space="preserve"> </w:t>
      </w:r>
    </w:p>
    <w:p>
      <w:pPr>
        <w:pStyle w:val="Normal"/>
        <w:spacing w:lineRule="exact" w:line="280" w:before="10" w:after="0"/>
        <w:rPr>
          <w:rFonts w:ascii="Arial" w:hAnsi="Arial" w:cs="Arial"/>
          <w:sz w:val="28"/>
          <w:szCs w:val="28"/>
        </w:rPr>
      </w:pPr>
      <w:r>
        <w:rPr>
          <w:rFonts w:cs="Arial" w:ascii="Arial" w:hAnsi="Arial"/>
          <w:sz w:val="28"/>
          <w:szCs w:val="28"/>
        </w:rPr>
      </w:r>
    </w:p>
    <w:p>
      <w:pPr>
        <w:pStyle w:val="Normal"/>
        <w:spacing w:lineRule="auto" w:line="252"/>
        <w:ind w:left="472" w:right="375" w:hanging="360"/>
        <w:jc w:val="both"/>
        <w:rPr>
          <w:rFonts w:ascii="Arial" w:hAnsi="Arial" w:eastAsia="Arial" w:cs="Arial"/>
        </w:rPr>
      </w:pPr>
      <w:r>
        <w:rPr>
          <w:rFonts w:eastAsia="Arial" w:cs="Arial" w:ascii="Arial" w:hAnsi="Arial"/>
        </w:rPr>
        <w:t>B.</w:t>
      </w:r>
      <w:r>
        <w:rPr>
          <w:rFonts w:eastAsia="Arial" w:cs="Arial" w:ascii="Arial" w:hAnsi="Arial"/>
          <w:spacing w:val="66"/>
        </w:rPr>
        <w:t xml:space="preserve"> </w:t>
      </w:r>
      <w:r>
        <w:rPr>
          <w:rFonts w:eastAsia="Arial" w:cs="Arial" w:ascii="Arial" w:hAnsi="Arial"/>
          <w:w w:val="93"/>
        </w:rPr>
        <w:t>The</w:t>
      </w:r>
      <w:r>
        <w:rPr>
          <w:rFonts w:eastAsia="Arial" w:cs="Arial" w:ascii="Arial" w:hAnsi="Arial"/>
          <w:spacing w:val="5"/>
          <w:w w:val="93"/>
        </w:rPr>
        <w:t xml:space="preserve"> </w:t>
      </w:r>
      <w:r>
        <w:rPr>
          <w:rFonts w:eastAsia="Arial" w:cs="Arial" w:ascii="Arial" w:hAnsi="Arial"/>
        </w:rPr>
        <w:t>following</w:t>
      </w:r>
      <w:r>
        <w:rPr>
          <w:rFonts w:eastAsia="Arial" w:cs="Arial" w:ascii="Arial" w:hAnsi="Arial"/>
          <w:spacing w:val="33"/>
        </w:rPr>
        <w:t xml:space="preserve"> </w:t>
      </w:r>
      <w:r>
        <w:rPr>
          <w:rFonts w:eastAsia="Arial" w:cs="Arial" w:ascii="Arial" w:hAnsi="Arial"/>
        </w:rPr>
        <w:t>principles</w:t>
      </w:r>
      <w:r>
        <w:rPr>
          <w:rFonts w:eastAsia="Arial" w:cs="Arial" w:ascii="Arial" w:hAnsi="Arial"/>
          <w:spacing w:val="-6"/>
        </w:rPr>
        <w:t xml:space="preserve"> </w:t>
      </w:r>
      <w:r>
        <w:rPr>
          <w:rFonts w:eastAsia="Arial" w:cs="Arial" w:ascii="Arial" w:hAnsi="Arial"/>
        </w:rPr>
        <w:t>will</w:t>
      </w:r>
      <w:r>
        <w:rPr>
          <w:rFonts w:eastAsia="Arial" w:cs="Arial" w:ascii="Arial" w:hAnsi="Arial"/>
          <w:spacing w:val="53"/>
        </w:rPr>
        <w:t xml:space="preserve"> </w:t>
      </w:r>
      <w:r>
        <w:rPr>
          <w:rFonts w:eastAsia="Arial" w:cs="Arial" w:ascii="Arial" w:hAnsi="Arial"/>
        </w:rPr>
        <w:t>be</w:t>
      </w:r>
      <w:r>
        <w:rPr>
          <w:rFonts w:eastAsia="Arial" w:cs="Arial" w:ascii="Arial" w:hAnsi="Arial"/>
          <w:spacing w:val="-16"/>
        </w:rPr>
        <w:t xml:space="preserve"> </w:t>
      </w:r>
      <w:r>
        <w:rPr>
          <w:rFonts w:eastAsia="Arial" w:cs="Arial" w:ascii="Arial" w:hAnsi="Arial"/>
          <w:w w:val="92"/>
        </w:rPr>
        <w:t>used</w:t>
      </w:r>
      <w:r>
        <w:rPr>
          <w:rFonts w:eastAsia="Arial" w:cs="Arial" w:ascii="Arial" w:hAnsi="Arial"/>
          <w:spacing w:val="5"/>
          <w:w w:val="92"/>
        </w:rPr>
        <w:t xml:space="preserve"> </w:t>
      </w:r>
      <w:r>
        <w:rPr>
          <w:rFonts w:eastAsia="Arial" w:cs="Arial" w:ascii="Arial" w:hAnsi="Arial"/>
        </w:rPr>
        <w:t>in</w:t>
      </w:r>
      <w:r>
        <w:rPr>
          <w:rFonts w:eastAsia="Arial" w:cs="Arial" w:ascii="Arial" w:hAnsi="Arial"/>
          <w:spacing w:val="13"/>
        </w:rPr>
        <w:t xml:space="preserve"> </w:t>
      </w:r>
      <w:r>
        <w:rPr>
          <w:rFonts w:eastAsia="Arial" w:cs="Arial" w:ascii="Arial" w:hAnsi="Arial"/>
        </w:rPr>
        <w:t>guiding</w:t>
      </w:r>
      <w:r>
        <w:rPr>
          <w:rFonts w:eastAsia="Arial" w:cs="Arial" w:ascii="Arial" w:hAnsi="Arial"/>
          <w:spacing w:val="-2"/>
        </w:rPr>
        <w:t xml:space="preserve"> </w:t>
      </w:r>
      <w:r>
        <w:rPr>
          <w:rFonts w:eastAsia="Arial" w:cs="Arial" w:ascii="Arial" w:hAnsi="Arial"/>
          <w:w w:val="97"/>
        </w:rPr>
        <w:t>development</w:t>
      </w:r>
      <w:r>
        <w:rPr>
          <w:rFonts w:eastAsia="Arial" w:cs="Arial" w:ascii="Arial" w:hAnsi="Arial"/>
          <w:spacing w:val="4"/>
          <w:w w:val="97"/>
        </w:rPr>
        <w:t xml:space="preserve"> </w:t>
      </w:r>
      <w:r>
        <w:rPr>
          <w:rFonts w:eastAsia="Arial" w:cs="Arial" w:ascii="Arial" w:hAnsi="Arial"/>
        </w:rPr>
        <w:t>of a</w:t>
      </w:r>
      <w:r>
        <w:rPr>
          <w:rFonts w:eastAsia="Arial" w:cs="Arial" w:ascii="Arial" w:hAnsi="Arial"/>
          <w:spacing w:val="-15"/>
        </w:rPr>
        <w:t xml:space="preserve"> </w:t>
      </w:r>
      <w:r>
        <w:rPr>
          <w:rFonts w:eastAsia="Arial" w:cs="Arial" w:ascii="Arial" w:hAnsi="Arial"/>
        </w:rPr>
        <w:t>planned community</w:t>
      </w:r>
      <w:r>
        <w:rPr>
          <w:rFonts w:eastAsia="Arial" w:cs="Arial" w:ascii="Arial" w:hAnsi="Arial"/>
          <w:spacing w:val="12"/>
        </w:rPr>
        <w:t xml:space="preserve"> </w:t>
      </w:r>
      <w:r>
        <w:rPr>
          <w:rFonts w:eastAsia="Arial" w:cs="Arial" w:ascii="Arial" w:hAnsi="Arial"/>
        </w:rPr>
        <w:t>that</w:t>
      </w:r>
      <w:r>
        <w:rPr>
          <w:rFonts w:eastAsia="Arial" w:cs="Arial" w:ascii="Arial" w:hAnsi="Arial"/>
          <w:spacing w:val="-14"/>
        </w:rPr>
        <w:t xml:space="preserve"> </w:t>
      </w:r>
      <w:r>
        <w:rPr>
          <w:rFonts w:eastAsia="Arial" w:cs="Arial" w:ascii="Arial" w:hAnsi="Arial"/>
        </w:rPr>
        <w:t>can</w:t>
      </w:r>
      <w:r>
        <w:rPr>
          <w:rFonts w:eastAsia="Arial" w:cs="Arial" w:ascii="Arial" w:hAnsi="Arial"/>
          <w:spacing w:val="-15"/>
        </w:rPr>
        <w:t xml:space="preserve"> </w:t>
      </w:r>
      <w:r>
        <w:rPr>
          <w:rFonts w:eastAsia="Arial" w:cs="Arial" w:ascii="Arial" w:hAnsi="Arial"/>
          <w:w w:val="94"/>
        </w:rPr>
        <w:t>respond</w:t>
      </w:r>
      <w:r>
        <w:rPr>
          <w:rFonts w:eastAsia="Arial" w:cs="Arial" w:ascii="Arial" w:hAnsi="Arial"/>
          <w:spacing w:val="12"/>
          <w:w w:val="94"/>
        </w:rPr>
        <w:t xml:space="preserve"> </w:t>
      </w:r>
      <w:r>
        <w:rPr>
          <w:rFonts w:eastAsia="Arial" w:cs="Arial" w:ascii="Arial" w:hAnsi="Arial"/>
        </w:rPr>
        <w:t xml:space="preserve">to </w:t>
      </w:r>
      <w:r>
        <w:rPr>
          <w:rFonts w:eastAsia="Arial" w:cs="Arial" w:ascii="Arial" w:hAnsi="Arial"/>
          <w:w w:val="96"/>
        </w:rPr>
        <w:t>changing</w:t>
      </w:r>
      <w:r>
        <w:rPr>
          <w:rFonts w:eastAsia="Arial" w:cs="Arial" w:ascii="Arial" w:hAnsi="Arial"/>
          <w:spacing w:val="11"/>
          <w:w w:val="96"/>
        </w:rPr>
        <w:t xml:space="preserve"> </w:t>
      </w:r>
      <w:r>
        <w:rPr>
          <w:rFonts w:eastAsia="Arial" w:cs="Arial" w:ascii="Arial" w:hAnsi="Arial"/>
          <w:w w:val="96"/>
        </w:rPr>
        <w:t>market</w:t>
      </w:r>
      <w:r>
        <w:rPr>
          <w:rFonts w:eastAsia="Arial" w:cs="Arial" w:ascii="Arial" w:hAnsi="Arial"/>
          <w:spacing w:val="3"/>
          <w:w w:val="96"/>
        </w:rPr>
        <w:t xml:space="preserve"> </w:t>
      </w:r>
      <w:r>
        <w:rPr>
          <w:rFonts w:eastAsia="Arial" w:cs="Arial" w:ascii="Arial" w:hAnsi="Arial"/>
        </w:rPr>
        <w:t>conditions.  The Parkrose PUD shall:</w:t>
      </w:r>
    </w:p>
    <w:p>
      <w:pPr>
        <w:pStyle w:val="Normal"/>
        <w:spacing w:lineRule="exact" w:line="180"/>
        <w:jc w:val="both"/>
        <w:rPr>
          <w:sz w:val="18"/>
          <w:szCs w:val="18"/>
        </w:rPr>
      </w:pPr>
      <w:r>
        <w:rPr>
          <w:sz w:val="18"/>
          <w:szCs w:val="18"/>
        </w:rPr>
      </w:r>
    </w:p>
    <w:p>
      <w:p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rPr>
        <w:t>Achieve flexibility and variety of housing types, including detached single-family and fee-simple paired patio homes, which will produce a variety of housing choices;</w:t>
      </w:r>
    </w:p>
    <w:p>
      <w:pPr>
        <w:pStyle w:val="Normal"/>
        <w:widowControl w:val="false"/>
        <w:tabs>
          <w:tab w:val="clear" w:pos="720"/>
          <w:tab w:val="left" w:pos="880" w:leader="none"/>
        </w:tabs>
        <w:spacing w:before="0" w:after="0"/>
        <w:ind w:right="-20" w:hanging="0"/>
        <w:contextualSpacing/>
        <w:rPr>
          <w:rFonts w:ascii="Arial" w:hAnsi="Arial" w:eastAsia="Arial" w:cs="Arial"/>
        </w:rPr>
      </w:pPr>
      <w:r>
        <w:rPr>
          <w:rFonts w:eastAsia="Arial" w:cs="Arial" w:ascii="Arial" w:hAnsi="Arial"/>
        </w:rPr>
      </w:r>
    </w:p>
    <w:p>
      <w:p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rPr>
        <w:t>Connect two existing unconnected segments of Center Street;</w:t>
      </w:r>
    </w:p>
    <w:p>
      <w:pPr>
        <w:pStyle w:val="ListParagraph"/>
        <w:rPr>
          <w:rFonts w:ascii="Arial" w:hAnsi="Arial" w:eastAsia="Arial" w:cs="Arial"/>
        </w:rPr>
      </w:pPr>
      <w:r>
        <w:rPr>
          <w:rFonts w:eastAsia="Arial" w:cs="Arial" w:ascii="Arial" w:hAnsi="Arial"/>
        </w:rPr>
      </w:r>
    </w:p>
    <w:p>
      <w:p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rPr>
        <w:t>Replat the existing McKee residences to eliminate existing plat irregularities;</w:t>
      </w:r>
    </w:p>
    <w:p>
      <w:pPr>
        <w:pStyle w:val="ListParagraph"/>
        <w:widowControl w:val="false"/>
        <w:tabs>
          <w:tab w:val="clear" w:pos="720"/>
          <w:tab w:val="left" w:pos="880" w:leader="none"/>
        </w:tabs>
        <w:spacing w:before="0" w:after="0"/>
        <w:ind w:left="882" w:right="-20" w:hanging="0"/>
        <w:contextualSpacing/>
        <w:rPr>
          <w:rFonts w:ascii="Arial" w:hAnsi="Arial" w:eastAsia="Arial" w:cs="Arial"/>
        </w:rPr>
      </w:pPr>
      <w:r>
        <w:rPr>
          <w:rFonts w:eastAsia="Arial" w:cs="Arial" w:ascii="Arial" w:hAnsi="Arial"/>
        </w:rPr>
      </w:r>
    </w:p>
    <w:p>
      <w:p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w w:val="92"/>
        </w:rPr>
        <w:t>Encourage</w:t>
      </w:r>
      <w:r>
        <w:rPr>
          <w:rFonts w:eastAsia="Arial" w:cs="Arial" w:ascii="Arial" w:hAnsi="Arial"/>
          <w:spacing w:val="14"/>
          <w:w w:val="92"/>
        </w:rPr>
        <w:t xml:space="preserve"> </w:t>
      </w:r>
      <w:r>
        <w:rPr>
          <w:rFonts w:eastAsia="Arial" w:cs="Arial" w:ascii="Arial" w:hAnsi="Arial"/>
        </w:rPr>
        <w:t>a</w:t>
      </w:r>
      <w:r>
        <w:rPr>
          <w:rFonts w:eastAsia="Arial" w:cs="Arial" w:ascii="Arial" w:hAnsi="Arial"/>
          <w:spacing w:val="-15"/>
        </w:rPr>
        <w:t xml:space="preserve"> </w:t>
      </w:r>
      <w:r>
        <w:rPr>
          <w:rFonts w:eastAsia="Arial" w:cs="Arial" w:ascii="Arial" w:hAnsi="Arial"/>
        </w:rPr>
        <w:t>more</w:t>
      </w:r>
      <w:r>
        <w:rPr>
          <w:rFonts w:eastAsia="Arial" w:cs="Arial" w:ascii="Arial" w:hAnsi="Arial"/>
          <w:spacing w:val="-16"/>
        </w:rPr>
        <w:t xml:space="preserve"> </w:t>
      </w:r>
      <w:r>
        <w:rPr>
          <w:rFonts w:eastAsia="Arial" w:cs="Arial" w:ascii="Arial" w:hAnsi="Arial"/>
          <w:w w:val="96"/>
        </w:rPr>
        <w:t>creative</w:t>
      </w:r>
      <w:r>
        <w:rPr>
          <w:rFonts w:eastAsia="Arial" w:cs="Arial" w:ascii="Arial" w:hAnsi="Arial"/>
          <w:spacing w:val="3"/>
          <w:w w:val="96"/>
        </w:rPr>
        <w:t xml:space="preserve"> </w:t>
      </w:r>
      <w:r>
        <w:rPr>
          <w:rFonts w:eastAsia="Arial" w:cs="Arial" w:ascii="Arial" w:hAnsi="Arial"/>
          <w:w w:val="96"/>
        </w:rPr>
        <w:t>approach</w:t>
      </w:r>
      <w:r>
        <w:rPr>
          <w:rFonts w:eastAsia="Arial" w:cs="Arial" w:ascii="Arial" w:hAnsi="Arial"/>
          <w:spacing w:val="13"/>
          <w:w w:val="96"/>
        </w:rPr>
        <w:t xml:space="preserve"> </w:t>
      </w:r>
      <w:r>
        <w:rPr>
          <w:rFonts w:eastAsia="Arial" w:cs="Arial" w:ascii="Arial" w:hAnsi="Arial"/>
        </w:rPr>
        <w:t>in</w:t>
      </w:r>
      <w:r>
        <w:rPr>
          <w:rFonts w:eastAsia="Arial" w:cs="Arial" w:ascii="Arial" w:hAnsi="Arial"/>
          <w:spacing w:val="13"/>
        </w:rPr>
        <w:t xml:space="preserve"> </w:t>
      </w:r>
      <w:r>
        <w:rPr>
          <w:rFonts w:eastAsia="Arial" w:cs="Arial" w:ascii="Arial" w:hAnsi="Arial"/>
        </w:rPr>
        <w:t>land and</w:t>
      </w:r>
      <w:r>
        <w:rPr>
          <w:rFonts w:eastAsia="Arial" w:cs="Arial" w:ascii="Arial" w:hAnsi="Arial"/>
          <w:spacing w:val="-16"/>
        </w:rPr>
        <w:t xml:space="preserve"> </w:t>
      </w:r>
      <w:r>
        <w:rPr>
          <w:rFonts w:eastAsia="Arial" w:cs="Arial" w:ascii="Arial" w:hAnsi="Arial"/>
        </w:rPr>
        <w:t>building</w:t>
      </w:r>
      <w:r>
        <w:rPr>
          <w:rFonts w:eastAsia="Arial" w:cs="Arial" w:ascii="Arial" w:hAnsi="Arial"/>
          <w:spacing w:val="20"/>
        </w:rPr>
        <w:t xml:space="preserve"> </w:t>
      </w:r>
      <w:r>
        <w:rPr>
          <w:rFonts w:eastAsia="Arial" w:cs="Arial" w:ascii="Arial" w:hAnsi="Arial"/>
          <w:w w:val="92"/>
        </w:rPr>
        <w:t>site</w:t>
      </w:r>
      <w:r>
        <w:rPr>
          <w:rFonts w:eastAsia="Arial" w:cs="Arial" w:ascii="Arial" w:hAnsi="Arial"/>
          <w:spacing w:val="5"/>
          <w:w w:val="92"/>
        </w:rPr>
        <w:t xml:space="preserve"> </w:t>
      </w:r>
      <w:r>
        <w:rPr>
          <w:rFonts w:eastAsia="Arial" w:cs="Arial" w:ascii="Arial" w:hAnsi="Arial"/>
        </w:rPr>
        <w:t>planning;</w:t>
      </w:r>
    </w:p>
    <w:p>
      <w:pPr>
        <w:pStyle w:val="Normal"/>
        <w:spacing w:lineRule="exact" w:line="190" w:before="4" w:after="0"/>
        <w:rPr>
          <w:sz w:val="19"/>
          <w:szCs w:val="19"/>
        </w:rPr>
      </w:pPr>
      <w:r>
        <w:rPr>
          <w:sz w:val="19"/>
          <w:szCs w:val="19"/>
        </w:rPr>
      </w:r>
    </w:p>
    <w:p>
      <w:p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w w:val="92"/>
        </w:rPr>
        <w:t>Encourage</w:t>
      </w:r>
      <w:r>
        <w:rPr>
          <w:rFonts w:eastAsia="Arial" w:cs="Arial" w:ascii="Arial" w:hAnsi="Arial"/>
          <w:spacing w:val="14"/>
          <w:w w:val="92"/>
        </w:rPr>
        <w:t xml:space="preserve"> </w:t>
      </w:r>
      <w:r>
        <w:rPr>
          <w:rFonts w:eastAsia="Arial" w:cs="Arial" w:ascii="Arial" w:hAnsi="Arial"/>
        </w:rPr>
        <w:t>an</w:t>
      </w:r>
      <w:r>
        <w:rPr>
          <w:rFonts w:eastAsia="Arial" w:cs="Arial" w:ascii="Arial" w:hAnsi="Arial"/>
          <w:spacing w:val="-16"/>
        </w:rPr>
        <w:t xml:space="preserve"> </w:t>
      </w:r>
      <w:r>
        <w:rPr>
          <w:rFonts w:eastAsia="Arial" w:cs="Arial" w:ascii="Arial" w:hAnsi="Arial"/>
        </w:rPr>
        <w:t xml:space="preserve">efficient, </w:t>
      </w:r>
      <w:r>
        <w:rPr>
          <w:rFonts w:eastAsia="Arial" w:cs="Arial" w:ascii="Arial" w:hAnsi="Arial"/>
          <w:w w:val="94"/>
        </w:rPr>
        <w:t>aesthetic,</w:t>
      </w:r>
      <w:r>
        <w:rPr>
          <w:rFonts w:eastAsia="Arial" w:cs="Arial" w:ascii="Arial" w:hAnsi="Arial"/>
          <w:spacing w:val="7"/>
          <w:w w:val="94"/>
        </w:rPr>
        <w:t xml:space="preserve"> </w:t>
      </w:r>
      <w:r>
        <w:rPr>
          <w:rFonts w:eastAsia="Arial" w:cs="Arial" w:ascii="Arial" w:hAnsi="Arial"/>
        </w:rPr>
        <w:t>and</w:t>
      </w:r>
      <w:r>
        <w:rPr>
          <w:rFonts w:eastAsia="Arial" w:cs="Arial" w:ascii="Arial" w:hAnsi="Arial"/>
          <w:spacing w:val="-16"/>
        </w:rPr>
        <w:t xml:space="preserve"> </w:t>
      </w:r>
      <w:r>
        <w:rPr>
          <w:rFonts w:eastAsia="Arial" w:cs="Arial" w:ascii="Arial" w:hAnsi="Arial"/>
          <w:w w:val="92"/>
        </w:rPr>
        <w:t>desirable use</w:t>
      </w:r>
      <w:r>
        <w:rPr>
          <w:rFonts w:eastAsia="Arial" w:cs="Arial" w:ascii="Arial" w:hAnsi="Arial"/>
          <w:spacing w:val="-6"/>
          <w:w w:val="92"/>
        </w:rPr>
        <w:t xml:space="preserve"> </w:t>
      </w:r>
      <w:r>
        <w:rPr>
          <w:rFonts w:eastAsia="Arial" w:cs="Arial" w:ascii="Arial" w:hAnsi="Arial"/>
        </w:rPr>
        <w:t>of open</w:t>
      </w:r>
      <w:r>
        <w:rPr>
          <w:rFonts w:eastAsia="Arial" w:cs="Arial" w:ascii="Arial" w:hAnsi="Arial"/>
          <w:spacing w:val="-16"/>
        </w:rPr>
        <w:t xml:space="preserve"> </w:t>
      </w:r>
      <w:r>
        <w:rPr>
          <w:rFonts w:eastAsia="Arial" w:cs="Arial" w:ascii="Arial" w:hAnsi="Arial"/>
        </w:rPr>
        <w:t>space and/or    common area; and</w:t>
      </w:r>
    </w:p>
    <w:p>
      <w:pPr>
        <w:pStyle w:val="Normal"/>
        <w:spacing w:lineRule="exact" w:line="190" w:before="4" w:after="0"/>
        <w:rPr>
          <w:sz w:val="19"/>
          <w:szCs w:val="19"/>
        </w:rPr>
      </w:pPr>
      <w:r>
        <w:rPr>
          <w:sz w:val="19"/>
          <w:szCs w:val="19"/>
        </w:rPr>
      </w:r>
    </w:p>
    <w:p>
      <w:pPr>
        <w:sectPr>
          <w:footerReference w:type="default" r:id="rId2"/>
          <w:type w:val="nextPage"/>
          <w:pgSz w:w="12240" w:h="20160"/>
          <w:pgMar w:left="1800" w:right="1800" w:gutter="0" w:header="0" w:top="1440" w:footer="757" w:bottom="1440"/>
          <w:pgNumType w:start="1" w:fmt="decimal"/>
          <w:formProt w:val="false"/>
          <w:titlePg/>
          <w:textDirection w:val="lrTb"/>
          <w:docGrid w:type="default" w:linePitch="326" w:charSpace="0"/>
        </w:sectPr>
        <w:pStyle w:val="ListParagraph"/>
        <w:widowControl w:val="false"/>
        <w:numPr>
          <w:ilvl w:val="0"/>
          <w:numId w:val="1"/>
        </w:numPr>
        <w:tabs>
          <w:tab w:val="clear" w:pos="720"/>
          <w:tab w:val="left" w:pos="880" w:leader="none"/>
        </w:tabs>
        <w:spacing w:before="0" w:after="0"/>
        <w:ind w:left="882" w:right="-20" w:hanging="390"/>
        <w:contextualSpacing/>
        <w:rPr>
          <w:rFonts w:ascii="Arial" w:hAnsi="Arial" w:eastAsia="Arial" w:cs="Arial"/>
        </w:rPr>
      </w:pPr>
      <w:r>
        <w:rPr>
          <w:rFonts w:eastAsia="Arial" w:cs="Arial" w:ascii="Arial" w:hAnsi="Arial"/>
          <w:w w:val="95"/>
        </w:rPr>
        <w:t>Promote</w:t>
      </w:r>
      <w:r>
        <w:rPr>
          <w:rFonts w:eastAsia="Arial" w:cs="Arial" w:ascii="Arial" w:hAnsi="Arial"/>
          <w:spacing w:val="3"/>
          <w:w w:val="95"/>
        </w:rPr>
        <w:t xml:space="preserve"> </w:t>
      </w:r>
      <w:r>
        <w:rPr>
          <w:rFonts w:eastAsia="Arial" w:cs="Arial" w:ascii="Arial" w:hAnsi="Arial"/>
        </w:rPr>
        <w:t>variety</w:t>
      </w:r>
      <w:r>
        <w:rPr>
          <w:rFonts w:eastAsia="Arial" w:cs="Arial" w:ascii="Arial" w:hAnsi="Arial"/>
          <w:spacing w:val="-14"/>
        </w:rPr>
        <w:t xml:space="preserve"> </w:t>
      </w:r>
      <w:r>
        <w:rPr>
          <w:rFonts w:eastAsia="Arial" w:cs="Arial" w:ascii="Arial" w:hAnsi="Arial"/>
        </w:rPr>
        <w:t>in</w:t>
      </w:r>
      <w:r>
        <w:rPr>
          <w:rFonts w:eastAsia="Arial" w:cs="Arial" w:ascii="Arial" w:hAnsi="Arial"/>
          <w:spacing w:val="13"/>
        </w:rPr>
        <w:t xml:space="preserve"> </w:t>
      </w:r>
      <w:r>
        <w:rPr>
          <w:rFonts w:eastAsia="Arial" w:cs="Arial" w:ascii="Arial" w:hAnsi="Arial"/>
        </w:rPr>
        <w:t>the</w:t>
      </w:r>
      <w:r>
        <w:rPr>
          <w:rFonts w:eastAsia="Arial" w:cs="Arial" w:ascii="Arial" w:hAnsi="Arial"/>
          <w:spacing w:val="-15"/>
        </w:rPr>
        <w:t xml:space="preserve"> </w:t>
      </w:r>
      <w:r>
        <w:rPr>
          <w:rFonts w:eastAsia="Arial" w:cs="Arial" w:ascii="Arial" w:hAnsi="Arial"/>
        </w:rPr>
        <w:t>physical</w:t>
      </w:r>
      <w:r>
        <w:rPr>
          <w:rFonts w:eastAsia="Arial" w:cs="Arial" w:ascii="Arial" w:hAnsi="Arial"/>
          <w:spacing w:val="-18"/>
        </w:rPr>
        <w:t xml:space="preserve"> </w:t>
      </w:r>
      <w:r>
        <w:rPr>
          <w:rFonts w:eastAsia="Arial" w:cs="Arial" w:ascii="Arial" w:hAnsi="Arial"/>
          <w:w w:val="96"/>
        </w:rPr>
        <w:t>development</w:t>
      </w:r>
      <w:r>
        <w:rPr>
          <w:rFonts w:eastAsia="Arial" w:cs="Arial" w:ascii="Arial" w:hAnsi="Arial"/>
          <w:spacing w:val="18"/>
          <w:w w:val="96"/>
        </w:rPr>
        <w:t xml:space="preserve"> </w:t>
      </w:r>
      <w:r>
        <w:rPr>
          <w:rFonts w:eastAsia="Arial" w:cs="Arial" w:ascii="Arial" w:hAnsi="Arial"/>
          <w:w w:val="96"/>
        </w:rPr>
        <w:t>pattern</w:t>
      </w:r>
      <w:r>
        <w:rPr>
          <w:rFonts w:eastAsia="Arial" w:cs="Arial" w:ascii="Arial" w:hAnsi="Arial"/>
          <w:spacing w:val="3"/>
          <w:w w:val="96"/>
        </w:rPr>
        <w:t xml:space="preserve"> </w:t>
      </w:r>
      <w:r>
        <w:rPr>
          <w:rFonts w:eastAsia="Arial" w:cs="Arial" w:ascii="Arial" w:hAnsi="Arial"/>
        </w:rPr>
        <w:t>of the</w:t>
      </w:r>
      <w:r>
        <w:rPr>
          <w:rFonts w:eastAsia="Arial" w:cs="Arial" w:ascii="Arial" w:hAnsi="Arial"/>
          <w:spacing w:val="-15"/>
        </w:rPr>
        <w:t xml:space="preserve"> </w:t>
      </w:r>
      <w:r>
        <w:rPr>
          <w:rFonts w:eastAsia="Arial" w:cs="Arial" w:ascii="Arial" w:hAnsi="Arial"/>
        </w:rPr>
        <w:t>commun</w:t>
      </w:r>
      <w:r>
        <w:rPr>
          <w:rFonts w:eastAsia="Arial" w:cs="Arial" w:ascii="Arial" w:hAnsi="Arial"/>
          <w:w w:val="105"/>
        </w:rPr>
        <w:t>ity</w:t>
      </w:r>
      <w:r>
        <w:rPr>
          <w:rFonts w:eastAsia="Arial" w:cs="Arial" w:ascii="Arial" w:hAnsi="Arial"/>
        </w:rPr>
        <w:t>.</w:t>
      </w:r>
    </w:p>
    <w:p>
      <w:pPr>
        <w:pStyle w:val="Normal"/>
        <w:spacing w:before="52" w:after="0"/>
        <w:ind w:left="232" w:right="-20" w:hanging="0"/>
        <w:rPr>
          <w:rFonts w:ascii="Arial" w:hAnsi="Arial" w:eastAsia="Arial" w:cs="Arial"/>
        </w:rPr>
      </w:pPr>
      <w:r>
        <w:rPr>
          <w:rFonts w:eastAsia="Arial" w:cs="Arial" w:ascii="Arial" w:hAnsi="Arial"/>
          <w:b/>
          <w:bCs/>
          <w:w w:val="93"/>
        </w:rPr>
        <w:t>SECTION</w:t>
      </w:r>
      <w:r>
        <w:rPr>
          <w:rFonts w:eastAsia="Arial" w:cs="Arial" w:ascii="Arial" w:hAnsi="Arial"/>
          <w:b/>
          <w:bCs/>
          <w:spacing w:val="5"/>
          <w:w w:val="93"/>
        </w:rPr>
        <w:t xml:space="preserve"> </w:t>
      </w:r>
      <w:r>
        <w:rPr>
          <w:rFonts w:eastAsia="Arial" w:cs="Arial" w:ascii="Arial" w:hAnsi="Arial"/>
          <w:b/>
          <w:bCs/>
        </w:rPr>
        <w:t>II.</w:t>
      </w:r>
      <w:r>
        <w:rPr>
          <w:rFonts w:eastAsia="Arial" w:cs="Arial" w:ascii="Arial" w:hAnsi="Arial"/>
          <w:b/>
          <w:bCs/>
          <w:spacing w:val="26"/>
        </w:rPr>
        <w:t xml:space="preserve"> </w:t>
      </w:r>
      <w:r>
        <w:rPr>
          <w:rFonts w:eastAsia="Arial" w:cs="Arial" w:ascii="Arial" w:hAnsi="Arial"/>
          <w:b/>
          <w:bCs/>
        </w:rPr>
        <w:t>AUTHORITY</w:t>
      </w:r>
    </w:p>
    <w:p>
      <w:pPr>
        <w:pStyle w:val="Normal"/>
        <w:spacing w:lineRule="exact" w:line="190" w:before="4" w:after="0"/>
        <w:rPr>
          <w:sz w:val="19"/>
          <w:szCs w:val="19"/>
        </w:rPr>
      </w:pPr>
      <w:r>
        <w:rPr>
          <w:sz w:val="19"/>
          <w:szCs w:val="19"/>
        </w:rPr>
      </w:r>
    </w:p>
    <w:p>
      <w:pPr>
        <w:pStyle w:val="Normal"/>
        <w:ind w:left="232" w:right="-20" w:hanging="0"/>
        <w:rPr>
          <w:rFonts w:ascii="Arial" w:hAnsi="Arial" w:eastAsia="Arial" w:cs="Arial"/>
        </w:rPr>
      </w:pPr>
      <w:r>
        <w:rPr>
          <w:rFonts w:eastAsia="Arial" w:cs="Arial" w:ascii="Arial" w:hAnsi="Arial"/>
        </w:rPr>
        <w:t>These standards shall apply to all property contained within Parkrose as described herein.  These regulations and requirements shall become part of the Planned Unit Development Ordinance and shall provide the governing standards for review, approval, and modification of all land use and development activities occurring at Parkrose. Provisions of these Standards shall prevail and govern the development of Parkrose superseding the existing zoning ordinance. The zoning ordinances and regulations of the RM – Residential Moderate Density District of the Unified Development Ordinance shall apply if the provisions of these Standards do not address a specific subject.</w:t>
      </w:r>
    </w:p>
    <w:p>
      <w:pPr>
        <w:pStyle w:val="Normal"/>
        <w:ind w:left="232" w:right="-20" w:hanging="0"/>
        <w:rPr>
          <w:rFonts w:ascii="Arial" w:hAnsi="Arial" w:eastAsia="Arial" w:cs="Arial"/>
        </w:rPr>
      </w:pPr>
      <w:r>
        <w:rPr>
          <w:rFonts w:eastAsia="Arial" w:cs="Arial" w:ascii="Arial" w:hAnsi="Arial"/>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ind w:left="232" w:right="-20" w:hanging="0"/>
        <w:rPr>
          <w:rFonts w:ascii="Arial" w:hAnsi="Arial" w:eastAsia="Arial" w:cs="Arial"/>
        </w:rPr>
      </w:pPr>
      <w:r>
        <w:rPr>
          <w:rFonts w:eastAsia="Arial" w:cs="Arial" w:ascii="Arial" w:hAnsi="Arial"/>
          <w:b/>
          <w:bCs/>
          <w:w w:val="93"/>
        </w:rPr>
        <w:t>SECTION</w:t>
      </w:r>
      <w:r>
        <w:rPr>
          <w:rFonts w:eastAsia="Arial" w:cs="Arial" w:ascii="Arial" w:hAnsi="Arial"/>
          <w:b/>
          <w:bCs/>
          <w:spacing w:val="5"/>
          <w:w w:val="93"/>
        </w:rPr>
        <w:t xml:space="preserve"> III.  SITE LOCATION</w:t>
      </w:r>
    </w:p>
    <w:p>
      <w:pPr>
        <w:pStyle w:val="Normal"/>
        <w:spacing w:lineRule="auto" w:line="252"/>
        <w:ind w:left="232" w:right="443" w:hanging="0"/>
        <w:jc w:val="both"/>
        <w:rPr>
          <w:rFonts w:ascii="Arial" w:hAnsi="Arial" w:eastAsia="Arial" w:cs="Arial"/>
          <w:sz w:val="19"/>
          <w:szCs w:val="19"/>
        </w:rPr>
      </w:pPr>
      <w:r>
        <w:rPr>
          <w:rFonts w:eastAsia="Arial" w:cs="Arial" w:ascii="Arial" w:hAnsi="Arial"/>
          <w:sz w:val="19"/>
          <w:szCs w:val="19"/>
        </w:rPr>
      </w:r>
    </w:p>
    <w:p>
      <w:pPr>
        <w:pStyle w:val="Normal"/>
        <w:spacing w:lineRule="auto" w:line="252"/>
        <w:ind w:left="232" w:right="443" w:hanging="0"/>
        <w:jc w:val="both"/>
        <w:rPr>
          <w:rFonts w:ascii="Arial" w:hAnsi="Arial" w:eastAsia="Arial" w:cs="Arial"/>
        </w:rPr>
      </w:pPr>
      <w:r>
        <w:rPr>
          <w:rFonts w:eastAsia="Arial" w:cs="Arial" w:ascii="Arial" w:hAnsi="Arial"/>
        </w:rPr>
        <w:t>Parkrose is a proposed residential development of approximately sixty-two and forty-two hundredths (62.42) acres located at the northeast corner of Davis Road and Franklin Street.</w:t>
      </w:r>
    </w:p>
    <w:p>
      <w:pPr>
        <w:pStyle w:val="Normal"/>
        <w:spacing w:lineRule="auto" w:line="252"/>
        <w:ind w:left="232" w:right="443" w:hanging="0"/>
        <w:jc w:val="both"/>
        <w:rPr>
          <w:rFonts w:ascii="Arial" w:hAnsi="Arial" w:eastAsia="Arial" w:cs="Arial"/>
        </w:rPr>
      </w:pPr>
      <w:r>
        <w:rPr>
          <w:rFonts w:eastAsia="Arial" w:cs="Arial" w:ascii="Arial" w:hAnsi="Arial"/>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i/>
          <w:i/>
          <w:iCs/>
          <w:sz w:val="20"/>
          <w:szCs w:val="20"/>
        </w:rPr>
      </w:pPr>
      <w:r>
        <w:rPr>
          <w:i/>
          <w:iCs/>
          <w:sz w:val="20"/>
          <w:szCs w:val="20"/>
        </w:rPr>
      </w:r>
    </w:p>
    <w:p>
      <w:pPr>
        <w:pStyle w:val="Normal"/>
        <w:spacing w:lineRule="auto" w:line="252"/>
        <w:ind w:left="232" w:right="443" w:hanging="0"/>
        <w:jc w:val="both"/>
        <w:rPr>
          <w:i/>
          <w:i/>
          <w:iCs/>
          <w:sz w:val="20"/>
          <w:szCs w:val="20"/>
        </w:rPr>
      </w:pPr>
      <w:r>
        <w:rPr>
          <w:i/>
          <w:iCs/>
          <w:sz w:val="20"/>
          <w:szCs w:val="20"/>
        </w:rPr>
      </w:r>
    </w:p>
    <w:p>
      <w:pPr>
        <w:pStyle w:val="Normal"/>
        <w:spacing w:lineRule="auto" w:line="252"/>
        <w:ind w:left="232" w:right="443" w:hanging="0"/>
        <w:jc w:val="center"/>
        <w:rPr>
          <w:sz w:val="20"/>
          <w:szCs w:val="20"/>
        </w:rPr>
      </w:pPr>
      <w:r>
        <w:rPr>
          <w:rFonts w:eastAsia="Arial" w:cs="Arial" w:ascii="Arial" w:hAnsi="Arial"/>
          <w:i/>
          <w:iCs/>
          <w:sz w:val="20"/>
          <w:szCs w:val="20"/>
        </w:rPr>
        <w:t>(remainder of page intentionally left blank)</w:t>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spacing w:lineRule="auto" w:line="252"/>
        <w:ind w:left="232" w:right="443" w:hanging="0"/>
        <w:jc w:val="both"/>
        <w:rPr>
          <w:sz w:val="20"/>
          <w:szCs w:val="20"/>
        </w:rPr>
      </w:pPr>
      <w:r>
        <w:rPr>
          <w:sz w:val="20"/>
          <w:szCs w:val="20"/>
        </w:rPr>
      </w:r>
    </w:p>
    <w:p>
      <w:pPr>
        <w:pStyle w:val="Normal"/>
        <w:rPr>
          <w:rFonts w:ascii="Arial" w:hAnsi="Arial" w:eastAsia="Arial" w:cs="Arial"/>
          <w:b/>
          <w:b/>
          <w:bCs/>
          <w:w w:val="93"/>
        </w:rPr>
      </w:pPr>
      <w:r>
        <w:rPr>
          <w:rFonts w:eastAsia="Arial" w:cs="Arial" w:ascii="Arial" w:hAnsi="Arial"/>
          <w:b/>
          <w:bCs/>
          <w:w w:val="93"/>
        </w:rPr>
      </w:r>
      <w:r>
        <w:br w:type="page"/>
      </w:r>
    </w:p>
    <w:p>
      <w:pPr>
        <w:pStyle w:val="Normal"/>
        <w:spacing w:lineRule="auto" w:line="412"/>
        <w:ind w:left="232" w:right="2960" w:hanging="0"/>
        <w:rPr>
          <w:rFonts w:ascii="Arial" w:hAnsi="Arial" w:eastAsia="Arial" w:cs="Arial"/>
          <w:b/>
          <w:b/>
          <w:bCs/>
        </w:rPr>
      </w:pPr>
      <w:r>
        <w:rPr>
          <w:rFonts w:eastAsia="Arial" w:cs="Arial" w:ascii="Arial" w:hAnsi="Arial"/>
          <w:b/>
          <w:bCs/>
          <w:w w:val="93"/>
        </w:rPr>
        <w:t>SECTION</w:t>
      </w:r>
      <w:r>
        <w:rPr>
          <w:rFonts w:eastAsia="Arial" w:cs="Arial" w:ascii="Arial" w:hAnsi="Arial"/>
          <w:b/>
          <w:bCs/>
          <w:spacing w:val="5"/>
          <w:w w:val="93"/>
        </w:rPr>
        <w:t xml:space="preserve"> </w:t>
      </w:r>
      <w:r>
        <w:rPr>
          <w:rFonts w:eastAsia="Arial" w:cs="Arial" w:ascii="Arial" w:hAnsi="Arial"/>
          <w:b/>
          <w:bCs/>
        </w:rPr>
        <w:t>IV.</w:t>
      </w:r>
      <w:r>
        <w:rPr>
          <w:rFonts w:eastAsia="Arial" w:cs="Arial" w:ascii="Arial" w:hAnsi="Arial"/>
          <w:b/>
          <w:bCs/>
          <w:spacing w:val="12"/>
        </w:rPr>
        <w:t xml:space="preserve"> </w:t>
      </w:r>
      <w:r>
        <w:rPr>
          <w:rFonts w:eastAsia="Arial" w:cs="Arial" w:ascii="Arial" w:hAnsi="Arial"/>
          <w:b/>
          <w:bCs/>
        </w:rPr>
        <w:t>LAND USE</w:t>
      </w:r>
    </w:p>
    <w:p>
      <w:pPr>
        <w:pStyle w:val="Normal"/>
        <w:spacing w:lineRule="auto" w:line="412"/>
        <w:ind w:left="232" w:right="2960" w:hanging="0"/>
        <w:rPr>
          <w:rFonts w:ascii="Arial" w:hAnsi="Arial" w:eastAsia="Arial" w:cs="Arial"/>
          <w:b/>
          <w:b/>
          <w:bCs/>
        </w:rPr>
      </w:pPr>
      <w:r>
        <w:rPr>
          <w:rFonts w:eastAsia="Arial" w:cs="Arial" w:ascii="Arial" w:hAnsi="Arial"/>
          <w:b/>
          <w:bCs/>
        </w:rPr>
      </w:r>
    </w:p>
    <w:p>
      <w:pPr>
        <w:pStyle w:val="Normal"/>
        <w:ind w:right="-20" w:hanging="0"/>
        <w:jc w:val="center"/>
        <w:rPr>
          <w:rFonts w:ascii="Arial" w:hAnsi="Arial" w:eastAsia="Arial" w:cs="Arial"/>
          <w:b/>
          <w:b/>
        </w:rPr>
      </w:pPr>
      <w:r>
        <w:rPr>
          <w:rFonts w:eastAsia="Arial" w:cs="Arial" w:ascii="Arial" w:hAnsi="Arial"/>
          <w:b/>
          <w:w w:val="89"/>
          <w:u w:val="single" w:color="000000"/>
        </w:rPr>
        <w:t>TABLE</w:t>
      </w:r>
      <w:r>
        <w:rPr>
          <w:rFonts w:eastAsia="Arial" w:cs="Arial" w:ascii="Arial" w:hAnsi="Arial"/>
          <w:b/>
          <w:spacing w:val="7"/>
          <w:w w:val="89"/>
          <w:u w:val="single" w:color="000000"/>
        </w:rPr>
        <w:t xml:space="preserve"> 1</w:t>
      </w:r>
      <w:r>
        <w:rPr>
          <w:rFonts w:eastAsia="Arial" w:cs="Arial" w:ascii="Arial" w:hAnsi="Arial"/>
          <w:b/>
          <w:u w:val="single" w:color="000000"/>
        </w:rPr>
        <w:t xml:space="preserve">. </w:t>
      </w:r>
      <w:r>
        <w:rPr>
          <w:rFonts w:eastAsia="Arial" w:cs="Arial" w:ascii="Arial" w:hAnsi="Arial"/>
          <w:b/>
          <w:caps/>
          <w:w w:val="91"/>
          <w:u w:val="single" w:color="000000"/>
        </w:rPr>
        <w:t>Development Summary</w:t>
      </w:r>
    </w:p>
    <w:p>
      <w:pPr>
        <w:pStyle w:val="Normal"/>
        <w:spacing w:before="20" w:after="0"/>
        <w:ind w:left="232" w:right="-20" w:hanging="0"/>
        <w:rPr>
          <w:rFonts w:ascii="Arial" w:hAnsi="Arial" w:eastAsia="Arial" w:cs="Arial"/>
        </w:rPr>
      </w:pPr>
      <w:r>
        <w:rPr>
          <w:rFonts w:eastAsia="Arial" w:cs="Arial" w:ascii="Arial" w:hAnsi="Arial"/>
        </w:rPr>
      </w:r>
    </w:p>
    <w:tbl>
      <w:tblPr>
        <w:tblW w:w="8190" w:type="dxa"/>
        <w:jc w:val="left"/>
        <w:tblInd w:w="985" w:type="dxa"/>
        <w:tblLayout w:type="fixed"/>
        <w:tblCellMar>
          <w:top w:w="0" w:type="dxa"/>
          <w:left w:w="5" w:type="dxa"/>
          <w:bottom w:w="0" w:type="dxa"/>
          <w:right w:w="5" w:type="dxa"/>
        </w:tblCellMar>
        <w:tblLook w:firstRow="1" w:noVBand="0" w:lastRow="1" w:firstColumn="1" w:lastColumn="1" w:noHBand="0" w:val="01e0"/>
      </w:tblPr>
      <w:tblGrid>
        <w:gridCol w:w="1710"/>
        <w:gridCol w:w="6479"/>
      </w:tblGrid>
      <w:tr>
        <w:trPr>
          <w:trHeight w:val="557" w:hRule="exact"/>
        </w:trPr>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rFonts w:ascii="Arial" w:hAnsi="Arial" w:eastAsia="Arial" w:cs="Arial"/>
                <w:b/>
                <w:b/>
                <w:bCs/>
                <w:sz w:val="19"/>
                <w:szCs w:val="19"/>
              </w:rPr>
            </w:pPr>
            <w:r>
              <w:rPr>
                <w:rFonts w:eastAsia="Arial" w:cs="Arial" w:ascii="Arial" w:hAnsi="Arial"/>
                <w:b/>
                <w:bCs/>
                <w:sz w:val="19"/>
                <w:szCs w:val="19"/>
              </w:rPr>
              <w:t>Acreage</w:t>
            </w:r>
          </w:p>
        </w:tc>
        <w:tc>
          <w:tcPr>
            <w:tcW w:w="6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t>62.42 acres</w:t>
            </w:r>
          </w:p>
        </w:tc>
      </w:tr>
      <w:tr>
        <w:trPr>
          <w:trHeight w:val="991" w:hRule="exact"/>
        </w:trPr>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b/>
                <w:b/>
                <w:bCs/>
                <w:sz w:val="12"/>
                <w:szCs w:val="12"/>
              </w:rPr>
            </w:pPr>
            <w:r>
              <w:rPr>
                <w:rFonts w:eastAsia="Arial" w:cs="Arial" w:ascii="Arial" w:hAnsi="Arial"/>
                <w:b/>
                <w:bCs/>
                <w:sz w:val="19"/>
                <w:szCs w:val="19"/>
              </w:rPr>
              <w:t>Number of Units</w:t>
            </w:r>
          </w:p>
        </w:tc>
        <w:tc>
          <w:tcPr>
            <w:tcW w:w="6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t>182 lots</w:t>
            </w:r>
          </w:p>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t>(116 Single-Family, 64 Paired, 2 Parent Tract Replat)</w:t>
            </w:r>
          </w:p>
        </w:tc>
      </w:tr>
      <w:tr>
        <w:trPr>
          <w:trHeight w:val="2782" w:hRule="exact"/>
        </w:trPr>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rFonts w:ascii="Arial" w:hAnsi="Arial" w:eastAsia="Arial" w:cs="Arial"/>
                <w:b/>
                <w:b/>
                <w:bCs/>
                <w:sz w:val="19"/>
                <w:szCs w:val="19"/>
              </w:rPr>
            </w:pPr>
            <w:r>
              <w:rPr>
                <w:rFonts w:eastAsia="Arial" w:cs="Arial" w:ascii="Arial" w:hAnsi="Arial"/>
                <w:b/>
                <w:bCs/>
                <w:sz w:val="19"/>
                <w:szCs w:val="19"/>
              </w:rPr>
              <w:t>Density</w:t>
            </w:r>
          </w:p>
        </w:tc>
        <w:tc>
          <w:tcPr>
            <w:tcW w:w="6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20" w:right="811" w:hanging="0"/>
              <w:jc w:val="center"/>
              <w:rPr>
                <w:rFonts w:ascii="Arial" w:hAnsi="Arial" w:eastAsia="Arial" w:cs="Arial"/>
                <w:sz w:val="19"/>
                <w:szCs w:val="19"/>
              </w:rPr>
            </w:pPr>
            <w:r>
              <w:rPr>
                <w:rFonts w:eastAsia="Arial" w:cs="Arial" w:ascii="Arial" w:hAnsi="Arial"/>
                <w:sz w:val="19"/>
                <w:szCs w:val="19"/>
              </w:rPr>
              <w:t>3.44 units per acre without McKee Parent Tract Replat</w:t>
            </w:r>
          </w:p>
          <w:p>
            <w:pPr>
              <w:pStyle w:val="Normal"/>
              <w:widowControl w:val="false"/>
              <w:ind w:left="720" w:right="811" w:hanging="0"/>
              <w:jc w:val="center"/>
              <w:rPr>
                <w:rFonts w:ascii="Arial" w:hAnsi="Arial" w:eastAsia="Arial" w:cs="Arial"/>
                <w:sz w:val="19"/>
                <w:szCs w:val="19"/>
              </w:rPr>
            </w:pPr>
            <w:r>
              <w:rPr>
                <w:rFonts w:eastAsia="Arial" w:cs="Arial" w:ascii="Arial" w:hAnsi="Arial"/>
                <w:sz w:val="19"/>
                <w:szCs w:val="19"/>
              </w:rPr>
              <w:t>2.92 units per acre including McKee Parent Tract Replat</w:t>
            </w:r>
          </w:p>
          <w:p>
            <w:pPr>
              <w:pStyle w:val="Normal"/>
              <w:widowControl w:val="false"/>
              <w:ind w:left="720" w:right="811" w:hanging="0"/>
              <w:jc w:val="center"/>
              <w:rPr>
                <w:rFonts w:ascii="Arial" w:hAnsi="Arial" w:eastAsia="Arial" w:cs="Arial"/>
                <w:sz w:val="19"/>
                <w:szCs w:val="19"/>
              </w:rPr>
            </w:pPr>
            <w:r>
              <w:rPr>
                <w:rFonts w:eastAsia="Arial" w:cs="Arial" w:ascii="Arial" w:hAnsi="Arial"/>
                <w:sz w:val="19"/>
                <w:szCs w:val="19"/>
              </w:rPr>
            </w:r>
          </w:p>
          <w:p>
            <w:pPr>
              <w:pStyle w:val="Normal"/>
              <w:widowControl w:val="false"/>
              <w:ind w:left="720" w:right="811" w:hanging="0"/>
              <w:jc w:val="center"/>
              <w:rPr>
                <w:rFonts w:ascii="Arial" w:hAnsi="Arial" w:eastAsia="Arial" w:cs="Arial"/>
                <w:sz w:val="19"/>
                <w:szCs w:val="19"/>
              </w:rPr>
            </w:pPr>
            <w:r>
              <w:rPr>
                <w:rFonts w:eastAsia="Arial" w:cs="Arial" w:ascii="Arial" w:hAnsi="Arial"/>
                <w:sz w:val="19"/>
                <w:szCs w:val="19"/>
              </w:rPr>
              <w:t>3.15 units per acre- Single-Family</w:t>
            </w:r>
          </w:p>
          <w:p>
            <w:pPr>
              <w:pStyle w:val="Normal"/>
              <w:widowControl w:val="false"/>
              <w:ind w:left="720" w:right="811" w:hanging="0"/>
              <w:jc w:val="center"/>
              <w:rPr>
                <w:rFonts w:ascii="Arial" w:hAnsi="Arial" w:eastAsia="Arial" w:cs="Arial"/>
                <w:sz w:val="19"/>
                <w:szCs w:val="19"/>
              </w:rPr>
            </w:pPr>
            <w:r>
              <w:rPr>
                <w:rFonts w:eastAsia="Arial" w:cs="Arial" w:ascii="Arial" w:hAnsi="Arial"/>
                <w:sz w:val="19"/>
                <w:szCs w:val="19"/>
              </w:rPr>
              <w:t>4.12 units per acre- Paired</w:t>
            </w:r>
          </w:p>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r>
          </w:p>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r>
          </w:p>
        </w:tc>
      </w:tr>
      <w:tr>
        <w:trPr>
          <w:trHeight w:val="552" w:hRule="exact"/>
        </w:trPr>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rFonts w:ascii="Arial" w:hAnsi="Arial" w:eastAsia="Arial" w:cs="Arial"/>
                <w:b/>
                <w:b/>
                <w:bCs/>
                <w:sz w:val="19"/>
                <w:szCs w:val="19"/>
              </w:rPr>
            </w:pPr>
            <w:r>
              <w:rPr>
                <w:rFonts w:eastAsia="Arial" w:cs="Arial" w:ascii="Arial" w:hAnsi="Arial"/>
                <w:b/>
                <w:bCs/>
                <w:sz w:val="19"/>
                <w:szCs w:val="19"/>
              </w:rPr>
              <w:t>Underlying Zoning</w:t>
            </w:r>
          </w:p>
        </w:tc>
        <w:tc>
          <w:tcPr>
            <w:tcW w:w="6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977" w:right="963" w:hanging="0"/>
              <w:jc w:val="center"/>
              <w:rPr>
                <w:rFonts w:ascii="Arial" w:hAnsi="Arial" w:eastAsia="Arial" w:cs="Arial"/>
                <w:sz w:val="19"/>
                <w:szCs w:val="19"/>
              </w:rPr>
            </w:pPr>
            <w:r>
              <w:rPr>
                <w:rFonts w:eastAsia="Arial" w:cs="Arial" w:ascii="Arial" w:hAnsi="Arial"/>
                <w:sz w:val="19"/>
                <w:szCs w:val="19"/>
              </w:rPr>
              <w:t>RM- Residential Moderate Density District</w:t>
            </w:r>
          </w:p>
        </w:tc>
      </w:tr>
    </w:tbl>
    <w:p>
      <w:pPr>
        <w:pStyle w:val="Normal"/>
        <w:spacing w:before="20" w:after="0"/>
        <w:ind w:left="232" w:right="-20" w:hanging="0"/>
        <w:rPr>
          <w:rFonts w:ascii="Arial" w:hAnsi="Arial" w:eastAsia="Arial" w:cs="Arial"/>
        </w:rPr>
      </w:pPr>
      <w:r>
        <w:rPr>
          <w:rFonts w:eastAsia="Arial" w:cs="Arial" w:ascii="Arial" w:hAnsi="Arial"/>
        </w:rPr>
      </w:r>
    </w:p>
    <w:p>
      <w:pPr>
        <w:pStyle w:val="Normal"/>
        <w:spacing w:lineRule="auto" w:line="412"/>
        <w:ind w:right="2780" w:hanging="0"/>
        <w:rPr>
          <w:rFonts w:ascii="Arial" w:hAnsi="Arial" w:eastAsia="Arial" w:cs="Arial"/>
          <w:b/>
          <w:b/>
          <w:bCs/>
        </w:rPr>
      </w:pPr>
      <w:r>
        <w:rPr>
          <w:rFonts w:eastAsia="Arial" w:cs="Arial" w:ascii="Arial" w:hAnsi="Arial"/>
          <w:b/>
          <w:bCs/>
        </w:rPr>
      </w:r>
    </w:p>
    <w:p>
      <w:pPr>
        <w:pStyle w:val="ListParagraph"/>
        <w:numPr>
          <w:ilvl w:val="0"/>
          <w:numId w:val="4"/>
        </w:numPr>
        <w:spacing w:lineRule="auto" w:line="412"/>
        <w:ind w:left="1080" w:right="2780" w:hanging="360"/>
        <w:rPr>
          <w:rFonts w:ascii="Arial" w:hAnsi="Arial" w:eastAsia="Arial" w:cs="Arial"/>
        </w:rPr>
      </w:pPr>
      <w:r>
        <w:rPr>
          <w:rFonts w:eastAsia="Arial" w:cs="Arial" w:ascii="Arial" w:hAnsi="Arial"/>
          <w:b/>
          <w:bCs/>
          <w:w w:val="89"/>
        </w:rPr>
        <w:t>Land</w:t>
      </w:r>
      <w:r>
        <w:rPr>
          <w:rFonts w:eastAsia="Arial" w:cs="Arial" w:ascii="Arial" w:hAnsi="Arial"/>
          <w:b/>
          <w:bCs/>
          <w:spacing w:val="2"/>
          <w:w w:val="89"/>
        </w:rPr>
        <w:t xml:space="preserve"> </w:t>
      </w:r>
      <w:r>
        <w:rPr>
          <w:rFonts w:eastAsia="Arial" w:cs="Arial" w:ascii="Arial" w:hAnsi="Arial"/>
          <w:b/>
          <w:bCs/>
          <w:w w:val="89"/>
        </w:rPr>
        <w:t>Use</w:t>
      </w:r>
      <w:r>
        <w:rPr>
          <w:rFonts w:eastAsia="Arial" w:cs="Arial" w:ascii="Arial" w:hAnsi="Arial"/>
          <w:b/>
          <w:bCs/>
          <w:spacing w:val="12"/>
          <w:w w:val="89"/>
        </w:rPr>
        <w:t xml:space="preserve"> C</w:t>
      </w:r>
      <w:r>
        <w:rPr>
          <w:rFonts w:eastAsia="Arial" w:cs="Arial" w:ascii="Arial" w:hAnsi="Arial"/>
          <w:b/>
          <w:bCs/>
        </w:rPr>
        <w:t>ategories</w:t>
      </w:r>
    </w:p>
    <w:p>
      <w:pPr>
        <w:pStyle w:val="Normal"/>
        <w:spacing w:lineRule="exact" w:line="280" w:before="7" w:after="0"/>
        <w:rPr>
          <w:sz w:val="28"/>
          <w:szCs w:val="28"/>
        </w:rPr>
      </w:pPr>
      <w:r>
        <w:rPr>
          <w:sz w:val="28"/>
          <w:szCs w:val="28"/>
        </w:rPr>
      </w:r>
    </w:p>
    <w:p>
      <w:pPr>
        <w:pStyle w:val="Normal"/>
        <w:ind w:left="2693" w:right="2670" w:hanging="0"/>
        <w:jc w:val="center"/>
        <w:rPr>
          <w:rFonts w:ascii="Arial" w:hAnsi="Arial" w:eastAsia="Arial" w:cs="Arial"/>
          <w:b/>
          <w:b/>
        </w:rPr>
      </w:pPr>
      <w:r>
        <w:rPr>
          <w:rFonts w:eastAsia="Arial" w:cs="Arial" w:ascii="Arial" w:hAnsi="Arial"/>
          <w:b/>
          <w:w w:val="89"/>
          <w:u w:val="single" w:color="000000"/>
        </w:rPr>
        <w:t>TABLE</w:t>
      </w:r>
      <w:r>
        <w:rPr>
          <w:rFonts w:eastAsia="Arial" w:cs="Arial" w:ascii="Arial" w:hAnsi="Arial"/>
          <w:b/>
          <w:spacing w:val="7"/>
          <w:w w:val="89"/>
          <w:u w:val="single" w:color="000000"/>
        </w:rPr>
        <w:t xml:space="preserve"> 2</w:t>
      </w:r>
      <w:r>
        <w:rPr>
          <w:rFonts w:eastAsia="Arial" w:cs="Arial" w:ascii="Arial" w:hAnsi="Arial"/>
          <w:b/>
          <w:u w:val="single" w:color="000000"/>
        </w:rPr>
        <w:t>. LAND</w:t>
      </w:r>
      <w:r>
        <w:rPr>
          <w:rFonts w:eastAsia="Arial" w:cs="Arial" w:ascii="Arial" w:hAnsi="Arial"/>
          <w:b/>
          <w:spacing w:val="13"/>
          <w:u w:val="single" w:color="000000"/>
        </w:rPr>
        <w:t xml:space="preserve"> </w:t>
      </w:r>
      <w:r>
        <w:rPr>
          <w:rFonts w:eastAsia="Arial" w:cs="Arial" w:ascii="Arial" w:hAnsi="Arial"/>
          <w:b/>
          <w:w w:val="89"/>
          <w:u w:val="single" w:color="000000"/>
        </w:rPr>
        <w:t>USE</w:t>
      </w:r>
      <w:r>
        <w:rPr>
          <w:rFonts w:eastAsia="Arial" w:cs="Arial" w:ascii="Arial" w:hAnsi="Arial"/>
          <w:b/>
          <w:spacing w:val="-7"/>
          <w:w w:val="89"/>
          <w:u w:val="single" w:color="000000"/>
        </w:rPr>
        <w:t xml:space="preserve"> </w:t>
      </w:r>
      <w:r>
        <w:rPr>
          <w:rFonts w:eastAsia="Arial" w:cs="Arial" w:ascii="Arial" w:hAnsi="Arial"/>
          <w:b/>
          <w:w w:val="89"/>
          <w:u w:val="single" w:color="000000"/>
        </w:rPr>
        <w:t>CATEGORIES</w:t>
      </w:r>
    </w:p>
    <w:p>
      <w:pPr>
        <w:pStyle w:val="Normal"/>
        <w:spacing w:lineRule="exact" w:line="190" w:before="3" w:after="0"/>
        <w:rPr>
          <w:sz w:val="19"/>
          <w:szCs w:val="19"/>
        </w:rPr>
      </w:pPr>
      <w:r>
        <w:rPr>
          <w:sz w:val="19"/>
          <w:szCs w:val="19"/>
        </w:rPr>
      </w:r>
    </w:p>
    <w:tbl>
      <w:tblPr>
        <w:tblW w:w="9078" w:type="dxa"/>
        <w:jc w:val="left"/>
        <w:tblInd w:w="805" w:type="dxa"/>
        <w:tblLayout w:type="fixed"/>
        <w:tblCellMar>
          <w:top w:w="0" w:type="dxa"/>
          <w:left w:w="5" w:type="dxa"/>
          <w:bottom w:w="0" w:type="dxa"/>
          <w:right w:w="5" w:type="dxa"/>
        </w:tblCellMar>
        <w:tblLook w:firstRow="1" w:noVBand="0" w:lastRow="1" w:firstColumn="1" w:lastColumn="1" w:noHBand="0" w:val="01e0"/>
      </w:tblPr>
      <w:tblGrid>
        <w:gridCol w:w="3060"/>
        <w:gridCol w:w="1260"/>
        <w:gridCol w:w="2058"/>
        <w:gridCol w:w="2699"/>
      </w:tblGrid>
      <w:tr>
        <w:trPr>
          <w:trHeight w:val="523" w:hRule="exact"/>
        </w:trPr>
        <w:tc>
          <w:tcPr>
            <w:tcW w:w="3060" w:type="dxa"/>
            <w:tcBorders>
              <w:top w:val="single" w:sz="4" w:space="0" w:color="000000"/>
              <w:left w:val="single" w:sz="4" w:space="0" w:color="000000"/>
              <w:bottom w:val="single" w:sz="4" w:space="0" w:color="000000"/>
              <w:right w:val="single" w:sz="4" w:space="0" w:color="000000"/>
            </w:tcBorders>
          </w:tcPr>
          <w:p>
            <w:pPr>
              <w:pStyle w:val="Normal"/>
              <w:widowControl w:val="false"/>
              <w:ind w:left="273" w:right="-20" w:hanging="0"/>
              <w:jc w:val="center"/>
              <w:rPr>
                <w:rFonts w:ascii="Arial" w:hAnsi="Arial" w:eastAsia="Arial" w:cs="Arial"/>
                <w:b/>
                <w:b/>
                <w:bCs/>
                <w:sz w:val="19"/>
                <w:szCs w:val="19"/>
              </w:rPr>
            </w:pPr>
            <w:r>
              <w:rPr>
                <w:rFonts w:eastAsia="Arial" w:cs="Arial" w:ascii="Arial" w:hAnsi="Arial"/>
                <w:b/>
                <w:bCs/>
                <w:sz w:val="19"/>
                <w:szCs w:val="19"/>
              </w:rPr>
            </w:r>
            <w:bookmarkStart w:id="1" w:name="_Hlk144377711"/>
            <w:bookmarkStart w:id="2" w:name="_Hlk144377711"/>
          </w:p>
          <w:p>
            <w:pPr>
              <w:pStyle w:val="Normal"/>
              <w:widowControl w:val="false"/>
              <w:ind w:left="273" w:right="-20" w:hanging="0"/>
              <w:rPr>
                <w:rFonts w:ascii="Arial" w:hAnsi="Arial" w:eastAsia="Arial" w:cs="Arial"/>
                <w:b/>
                <w:b/>
                <w:bCs/>
                <w:sz w:val="19"/>
                <w:szCs w:val="19"/>
              </w:rPr>
            </w:pPr>
            <w:r>
              <w:rPr>
                <w:rFonts w:eastAsia="Arial" w:cs="Arial" w:ascii="Arial" w:hAnsi="Arial"/>
                <w:b/>
                <w:bCs/>
                <w:sz w:val="19"/>
                <w:szCs w:val="19"/>
              </w:rPr>
              <w:t>Use</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ind w:right="-20" w:hanging="0"/>
              <w:jc w:val="center"/>
              <w:rPr>
                <w:rFonts w:ascii="Arial" w:hAnsi="Arial" w:eastAsia="Arial" w:cs="Arial"/>
                <w:b/>
                <w:b/>
                <w:bCs/>
                <w:sz w:val="19"/>
                <w:szCs w:val="19"/>
              </w:rPr>
            </w:pPr>
            <w:r>
              <w:rPr>
                <w:rFonts w:eastAsia="Arial" w:cs="Arial" w:ascii="Arial" w:hAnsi="Arial"/>
                <w:b/>
                <w:bCs/>
                <w:sz w:val="19"/>
                <w:szCs w:val="19"/>
              </w:rPr>
              <w:t>Number</w:t>
            </w:r>
          </w:p>
          <w:p>
            <w:pPr>
              <w:pStyle w:val="Normal"/>
              <w:widowControl w:val="false"/>
              <w:ind w:right="-20" w:firstLine="2"/>
              <w:jc w:val="center"/>
              <w:rPr>
                <w:rFonts w:ascii="Arial" w:hAnsi="Arial" w:eastAsia="Arial" w:cs="Arial"/>
                <w:b/>
                <w:b/>
                <w:bCs/>
                <w:sz w:val="19"/>
                <w:szCs w:val="19"/>
              </w:rPr>
            </w:pPr>
            <w:r>
              <w:rPr>
                <w:rFonts w:eastAsia="Arial" w:cs="Arial" w:ascii="Arial" w:hAnsi="Arial"/>
                <w:b/>
                <w:bCs/>
                <w:sz w:val="19"/>
                <w:szCs w:val="19"/>
              </w:rPr>
              <w:t>of Lots</w:t>
            </w:r>
          </w:p>
        </w:tc>
        <w:tc>
          <w:tcPr>
            <w:tcW w:w="2058" w:type="dxa"/>
            <w:tcBorders>
              <w:top w:val="single" w:sz="4" w:space="0" w:color="000000"/>
              <w:left w:val="single" w:sz="4" w:space="0" w:color="000000"/>
              <w:bottom w:val="single" w:sz="4" w:space="0" w:color="000000"/>
              <w:right w:val="single" w:sz="4" w:space="0" w:color="000000"/>
            </w:tcBorders>
          </w:tcPr>
          <w:p>
            <w:pPr>
              <w:pStyle w:val="Normal"/>
              <w:widowControl w:val="false"/>
              <w:ind w:left="90" w:right="-105" w:hanging="180"/>
              <w:jc w:val="center"/>
              <w:rPr>
                <w:rFonts w:ascii="Arial" w:hAnsi="Arial" w:eastAsia="Arial" w:cs="Arial"/>
                <w:b/>
                <w:b/>
                <w:bCs/>
                <w:sz w:val="19"/>
                <w:szCs w:val="19"/>
              </w:rPr>
            </w:pPr>
            <w:r>
              <w:rPr>
                <w:rFonts w:eastAsia="Arial" w:cs="Arial" w:ascii="Arial" w:hAnsi="Arial"/>
                <w:b/>
                <w:bCs/>
                <w:sz w:val="19"/>
                <w:szCs w:val="19"/>
              </w:rPr>
              <w:t>Land Area</w:t>
            </w:r>
          </w:p>
        </w:tc>
        <w:tc>
          <w:tcPr>
            <w:tcW w:w="2699" w:type="dxa"/>
            <w:tcBorders>
              <w:top w:val="single" w:sz="4" w:space="0" w:color="000000"/>
              <w:left w:val="single" w:sz="4" w:space="0" w:color="000000"/>
              <w:bottom w:val="single" w:sz="4" w:space="0" w:color="000000"/>
              <w:right w:val="single" w:sz="4" w:space="0" w:color="000000"/>
            </w:tcBorders>
          </w:tcPr>
          <w:p>
            <w:pPr>
              <w:pStyle w:val="Normal"/>
              <w:widowControl w:val="false"/>
              <w:ind w:left="273" w:right="250" w:hanging="0"/>
              <w:jc w:val="center"/>
              <w:rPr>
                <w:rFonts w:ascii="Arial" w:hAnsi="Arial" w:eastAsia="Arial" w:cs="Arial"/>
                <w:b/>
                <w:b/>
                <w:bCs/>
                <w:sz w:val="19"/>
                <w:szCs w:val="19"/>
              </w:rPr>
            </w:pPr>
            <w:r>
              <w:rPr>
                <w:rFonts w:eastAsia="Arial" w:cs="Arial" w:ascii="Arial" w:hAnsi="Arial"/>
                <w:b/>
                <w:bCs/>
                <w:sz w:val="19"/>
                <w:szCs w:val="19"/>
              </w:rPr>
              <w:t>Building Designations on Plat</w:t>
            </w:r>
          </w:p>
        </w:tc>
      </w:tr>
      <w:tr>
        <w:trPr>
          <w:trHeight w:val="631" w:hRule="exact"/>
        </w:trPr>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20" w:before="3" w:after="0"/>
              <w:rPr>
                <w:sz w:val="12"/>
                <w:szCs w:val="12"/>
              </w:rPr>
            </w:pPr>
            <w:r>
              <w:rPr>
                <w:sz w:val="12"/>
                <w:szCs w:val="12"/>
              </w:rPr>
            </w:r>
            <w:bookmarkStart w:id="3" w:name="_Hlk143252480"/>
            <w:bookmarkStart w:id="4" w:name="_Hlk143252480"/>
          </w:p>
          <w:p>
            <w:pPr>
              <w:pStyle w:val="Normal"/>
              <w:widowControl w:val="false"/>
              <w:ind w:left="105" w:right="-20" w:hanging="0"/>
              <w:rPr>
                <w:rFonts w:ascii="Arial" w:hAnsi="Arial" w:eastAsia="Arial" w:cs="Arial"/>
                <w:sz w:val="19"/>
                <w:szCs w:val="19"/>
              </w:rPr>
            </w:pPr>
            <w:r>
              <w:rPr>
                <w:rFonts w:eastAsia="Arial" w:cs="Arial" w:ascii="Arial" w:hAnsi="Arial"/>
                <w:sz w:val="19"/>
                <w:szCs w:val="19"/>
              </w:rPr>
              <w:t xml:space="preserve">Residential – Single-Family </w:t>
              <w:br/>
              <w:t>Maple Street Lot (“MSH”)</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
              <w:jc w:val="center"/>
              <w:rPr>
                <w:rFonts w:ascii="Arial" w:hAnsi="Arial" w:eastAsia="Arial" w:cs="Arial"/>
                <w:sz w:val="19"/>
                <w:szCs w:val="19"/>
              </w:rPr>
            </w:pPr>
            <w:r>
              <w:rPr>
                <w:rFonts w:eastAsia="Arial" w:cs="Arial" w:ascii="Arial" w:hAnsi="Arial"/>
                <w:sz w:val="19"/>
                <w:szCs w:val="19"/>
              </w:rPr>
              <w:t>60</w:t>
            </w:r>
          </w:p>
        </w:tc>
        <w:tc>
          <w:tcPr>
            <w:tcW w:w="205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90" w:right="-105" w:hanging="180"/>
              <w:jc w:val="center"/>
              <w:rPr>
                <w:rFonts w:ascii="Arial" w:hAnsi="Arial" w:eastAsia="Arial" w:cs="Arial"/>
                <w:sz w:val="19"/>
                <w:szCs w:val="19"/>
              </w:rPr>
            </w:pPr>
            <w:r>
              <w:rPr>
                <w:rFonts w:eastAsia="Arial" w:cs="Arial" w:ascii="Arial" w:hAnsi="Arial"/>
                <w:sz w:val="19"/>
                <w:szCs w:val="19"/>
              </w:rPr>
            </w:r>
          </w:p>
          <w:p>
            <w:pPr>
              <w:pStyle w:val="Normal"/>
              <w:widowControl w:val="false"/>
              <w:ind w:left="90" w:right="-105" w:hanging="180"/>
              <w:jc w:val="center"/>
              <w:rPr>
                <w:rFonts w:ascii="Arial" w:hAnsi="Arial" w:eastAsia="Arial" w:cs="Arial"/>
                <w:sz w:val="19"/>
                <w:szCs w:val="19"/>
              </w:rPr>
            </w:pPr>
            <w:r>
              <w:rPr>
                <w:rFonts w:eastAsia="Arial" w:cs="Arial" w:ascii="Arial" w:hAnsi="Arial"/>
                <w:sz w:val="19"/>
                <w:szCs w:val="19"/>
              </w:rPr>
            </w:r>
          </w:p>
          <w:p>
            <w:pPr>
              <w:pStyle w:val="Normal"/>
              <w:widowControl w:val="false"/>
              <w:ind w:left="90" w:right="-105" w:hanging="180"/>
              <w:jc w:val="center"/>
              <w:rPr>
                <w:rFonts w:ascii="Arial" w:hAnsi="Arial" w:eastAsia="Arial" w:cs="Arial"/>
                <w:sz w:val="19"/>
                <w:szCs w:val="19"/>
              </w:rPr>
            </w:pPr>
            <w:r>
              <w:rPr>
                <w:rFonts w:eastAsia="Arial" w:cs="Arial" w:ascii="Arial" w:hAnsi="Arial"/>
                <w:sz w:val="19"/>
                <w:szCs w:val="19"/>
              </w:rPr>
              <w:t>36.84 acres</w:t>
            </w:r>
          </w:p>
        </w:tc>
        <w:tc>
          <w:tcPr>
            <w:tcW w:w="2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61" w:right="421" w:hanging="0"/>
              <w:jc w:val="center"/>
              <w:rPr>
                <w:rFonts w:ascii="Arial" w:hAnsi="Arial" w:eastAsia="Arial" w:cs="Arial"/>
                <w:sz w:val="19"/>
                <w:szCs w:val="19"/>
              </w:rPr>
            </w:pPr>
            <w:r>
              <w:rPr>
                <w:rFonts w:eastAsia="Arial" w:cs="Arial" w:ascii="Arial" w:hAnsi="Arial"/>
                <w:sz w:val="19"/>
                <w:szCs w:val="19"/>
              </w:rPr>
              <w:t>Maple Street Lot</w:t>
            </w:r>
          </w:p>
        </w:tc>
      </w:tr>
      <w:tr>
        <w:trPr>
          <w:trHeight w:val="775" w:hRule="exact"/>
        </w:trPr>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rFonts w:ascii="Arial" w:hAnsi="Arial" w:eastAsia="Arial" w:cs="Arial"/>
                <w:sz w:val="19"/>
                <w:szCs w:val="19"/>
              </w:rPr>
            </w:pPr>
            <w:r>
              <w:rPr>
                <w:rFonts w:eastAsia="Arial" w:cs="Arial" w:ascii="Arial" w:hAnsi="Arial"/>
                <w:sz w:val="19"/>
                <w:szCs w:val="19"/>
              </w:rPr>
              <w:t xml:space="preserve">Residential – Single-Family </w:t>
              <w:br/>
              <w:t>Designer Lot</w:t>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(“Designer”)</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
              <w:jc w:val="center"/>
              <w:rPr>
                <w:rFonts w:ascii="Arial" w:hAnsi="Arial" w:eastAsia="Arial" w:cs="Arial"/>
                <w:sz w:val="19"/>
                <w:szCs w:val="19"/>
              </w:rPr>
            </w:pPr>
            <w:r>
              <w:rPr>
                <w:rFonts w:eastAsia="Arial" w:cs="Arial" w:ascii="Arial" w:hAnsi="Arial"/>
                <w:sz w:val="19"/>
                <w:szCs w:val="19"/>
              </w:rPr>
              <w:t>56</w:t>
            </w:r>
          </w:p>
        </w:tc>
        <w:tc>
          <w:tcPr>
            <w:tcW w:w="2058" w:type="dxa"/>
            <w:vMerge w:val="continue"/>
            <w:tcBorders>
              <w:left w:val="single" w:sz="4" w:space="0" w:color="000000"/>
              <w:bottom w:val="single" w:sz="4" w:space="0" w:color="000000"/>
              <w:right w:val="single" w:sz="4" w:space="0" w:color="000000"/>
            </w:tcBorders>
            <w:vAlign w:val="center"/>
          </w:tcPr>
          <w:p>
            <w:pPr>
              <w:pStyle w:val="Normal"/>
              <w:widowControl w:val="false"/>
              <w:ind w:left="90" w:right="-105" w:hanging="180"/>
              <w:jc w:val="center"/>
              <w:rPr>
                <w:rFonts w:ascii="Arial" w:hAnsi="Arial" w:eastAsia="Arial" w:cs="Arial"/>
                <w:sz w:val="19"/>
                <w:szCs w:val="19"/>
              </w:rPr>
            </w:pPr>
            <w:r>
              <w:rPr>
                <w:rFonts w:eastAsia="Arial" w:cs="Arial" w:ascii="Arial" w:hAnsi="Arial"/>
                <w:sz w:val="19"/>
                <w:szCs w:val="19"/>
              </w:rPr>
            </w:r>
          </w:p>
        </w:tc>
        <w:tc>
          <w:tcPr>
            <w:tcW w:w="2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Arial" w:cs="Arial"/>
                <w:sz w:val="19"/>
                <w:szCs w:val="19"/>
              </w:rPr>
            </w:pPr>
            <w:r>
              <w:rPr>
                <w:rFonts w:eastAsia="Arial" w:cs="Arial" w:ascii="Arial" w:hAnsi="Arial"/>
                <w:sz w:val="19"/>
                <w:szCs w:val="19"/>
              </w:rPr>
              <w:t>Designer Lot</w:t>
            </w:r>
          </w:p>
        </w:tc>
      </w:tr>
      <w:tr>
        <w:trPr>
          <w:trHeight w:val="640" w:hRule="exact"/>
        </w:trPr>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rFonts w:ascii="Arial" w:hAnsi="Arial" w:eastAsia="Arial" w:cs="Arial"/>
                <w:sz w:val="19"/>
                <w:szCs w:val="19"/>
              </w:rPr>
            </w:pPr>
            <w:r>
              <w:rPr>
                <w:rFonts w:eastAsia="Arial" w:cs="Arial" w:ascii="Arial" w:hAnsi="Arial"/>
                <w:sz w:val="19"/>
                <w:szCs w:val="19"/>
              </w:rPr>
              <w:t>Residential – Paired Patio Lot</w:t>
            </w:r>
          </w:p>
          <w:p>
            <w:pPr>
              <w:pStyle w:val="Normal"/>
              <w:widowControl w:val="false"/>
              <w:ind w:left="105" w:right="-20" w:hanging="0"/>
              <w:rPr>
                <w:sz w:val="12"/>
                <w:szCs w:val="12"/>
              </w:rPr>
            </w:pPr>
            <w:r>
              <w:rPr>
                <w:rFonts w:eastAsia="Arial" w:cs="Arial" w:ascii="Arial" w:hAnsi="Arial"/>
                <w:sz w:val="19"/>
                <w:szCs w:val="19"/>
              </w:rPr>
              <w:t>(“Paired”)</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
              <w:jc w:val="center"/>
              <w:rPr>
                <w:rFonts w:ascii="Arial" w:hAnsi="Arial" w:eastAsia="Arial" w:cs="Arial"/>
                <w:sz w:val="19"/>
                <w:szCs w:val="19"/>
              </w:rPr>
            </w:pPr>
            <w:r>
              <w:rPr>
                <w:rFonts w:eastAsia="Arial" w:cs="Arial" w:ascii="Arial" w:hAnsi="Arial"/>
                <w:sz w:val="19"/>
                <w:szCs w:val="19"/>
              </w:rPr>
              <w:t>64</w:t>
            </w:r>
          </w:p>
        </w:tc>
        <w:tc>
          <w:tcPr>
            <w:tcW w:w="2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90" w:right="-105" w:hanging="180"/>
              <w:jc w:val="center"/>
              <w:rPr>
                <w:rFonts w:ascii="Arial" w:hAnsi="Arial" w:eastAsia="Arial" w:cs="Arial"/>
                <w:sz w:val="19"/>
                <w:szCs w:val="19"/>
              </w:rPr>
            </w:pPr>
            <w:r>
              <w:rPr>
                <w:rFonts w:eastAsia="Arial" w:cs="Arial" w:ascii="Arial" w:hAnsi="Arial"/>
                <w:sz w:val="19"/>
                <w:szCs w:val="19"/>
              </w:rPr>
              <w:t>15.55 acres</w:t>
            </w:r>
          </w:p>
        </w:tc>
        <w:tc>
          <w:tcPr>
            <w:tcW w:w="2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61" w:right="421" w:hanging="0"/>
              <w:jc w:val="center"/>
              <w:rPr/>
            </w:pPr>
            <w:r>
              <w:rPr>
                <w:rFonts w:eastAsia="Arial" w:cs="Arial" w:ascii="Arial" w:hAnsi="Arial"/>
                <w:sz w:val="19"/>
                <w:szCs w:val="19"/>
              </w:rPr>
              <w:t>Duplex Lot</w:t>
            </w:r>
          </w:p>
        </w:tc>
      </w:tr>
      <w:tr>
        <w:trPr>
          <w:trHeight w:val="552" w:hRule="exact"/>
        </w:trPr>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5" w:right="-20" w:hanging="0"/>
              <w:rPr>
                <w:b/>
                <w:b/>
                <w:bCs/>
                <w:sz w:val="12"/>
                <w:szCs w:val="12"/>
              </w:rPr>
            </w:pPr>
            <w:r>
              <w:rPr>
                <w:rFonts w:eastAsia="Arial" w:cs="Arial" w:ascii="Arial" w:hAnsi="Arial"/>
                <w:sz w:val="19"/>
                <w:szCs w:val="19"/>
              </w:rPr>
              <w:t>McKee Parent Tract re-plat</w:t>
            </w:r>
          </w:p>
        </w:tc>
        <w:tc>
          <w:tcPr>
            <w:tcW w:w="1260" w:type="dxa"/>
            <w:tcBorders>
              <w:top w:val="single" w:sz="4" w:space="0" w:color="000000"/>
              <w:left w:val="single" w:sz="4" w:space="0" w:color="000000"/>
              <w:bottom w:val="single" w:sz="4" w:space="0" w:color="000000"/>
              <w:right w:val="single" w:sz="4" w:space="0" w:color="000000"/>
            </w:tcBorders>
          </w:tcPr>
          <w:p>
            <w:pPr>
              <w:pStyle w:val="Normal"/>
              <w:widowControl w:val="false"/>
              <w:ind w:left="977" w:hanging="435"/>
              <w:rPr>
                <w:rFonts w:ascii="Arial" w:hAnsi="Arial" w:eastAsia="Arial" w:cs="Arial"/>
                <w:sz w:val="19"/>
                <w:szCs w:val="19"/>
              </w:rPr>
            </w:pPr>
            <w:r>
              <w:rPr>
                <w:rFonts w:eastAsia="Arial" w:cs="Arial" w:ascii="Arial" w:hAnsi="Arial"/>
                <w:sz w:val="19"/>
                <w:szCs w:val="19"/>
              </w:rPr>
              <w:t>2</w:t>
            </w:r>
          </w:p>
        </w:tc>
        <w:tc>
          <w:tcPr>
            <w:tcW w:w="2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90" w:right="-105" w:hanging="180"/>
              <w:jc w:val="center"/>
              <w:rPr>
                <w:rFonts w:ascii="Arial" w:hAnsi="Arial" w:eastAsia="Arial" w:cs="Arial"/>
                <w:b/>
                <w:b/>
                <w:bCs/>
                <w:sz w:val="19"/>
                <w:szCs w:val="19"/>
              </w:rPr>
            </w:pPr>
            <w:r>
              <w:rPr>
                <w:rFonts w:eastAsia="Arial" w:cs="Arial" w:ascii="Arial" w:hAnsi="Arial"/>
                <w:sz w:val="19"/>
                <w:szCs w:val="19"/>
              </w:rPr>
              <w:t>10.03 acres</w:t>
            </w:r>
          </w:p>
        </w:tc>
        <w:tc>
          <w:tcPr>
            <w:tcW w:w="2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75" w:hanging="375"/>
              <w:jc w:val="center"/>
              <w:rPr/>
            </w:pPr>
            <w:bookmarkStart w:id="5" w:name="_Hlk144377711"/>
            <w:bookmarkStart w:id="6" w:name="_Hlk143252480"/>
            <w:r>
              <w:rPr>
                <w:rFonts w:eastAsia="Arial" w:cs="Arial" w:ascii="Arial" w:hAnsi="Arial"/>
                <w:sz w:val="19"/>
                <w:szCs w:val="19"/>
              </w:rPr>
              <w:t>Existing Homesites</w:t>
            </w:r>
            <w:bookmarkEnd w:id="5"/>
            <w:bookmarkEnd w:id="6"/>
          </w:p>
        </w:tc>
      </w:tr>
    </w:tbl>
    <w:p>
      <w:pPr>
        <w:pStyle w:val="Normal"/>
        <w:spacing w:lineRule="auto" w:line="252"/>
        <w:ind w:left="592" w:right="228" w:hanging="0"/>
        <w:jc w:val="both"/>
        <w:rPr>
          <w:rFonts w:ascii="Arial" w:hAnsi="Arial" w:cs="Arial"/>
          <w:b/>
          <w:b/>
          <w:bCs/>
        </w:rPr>
      </w:pPr>
      <w:r>
        <w:rPr>
          <w:rFonts w:cs="Arial" w:ascii="Arial" w:hAnsi="Arial"/>
          <w:b/>
          <w:bCs/>
        </w:rPr>
      </w:r>
    </w:p>
    <w:p>
      <w:pPr>
        <w:pStyle w:val="Normal"/>
        <w:spacing w:lineRule="auto" w:line="252"/>
        <w:ind w:left="592" w:right="228" w:hanging="0"/>
        <w:jc w:val="both"/>
        <w:rPr>
          <w:rFonts w:ascii="Arial" w:hAnsi="Arial" w:cs="Arial"/>
          <w:b/>
          <w:b/>
          <w:bCs/>
        </w:rPr>
      </w:pPr>
      <w:r>
        <w:rPr>
          <w:rFonts w:cs="Arial" w:ascii="Arial" w:hAnsi="Arial"/>
          <w:b/>
          <w:bCs/>
        </w:rPr>
      </w:r>
    </w:p>
    <w:p>
      <w:pPr>
        <w:pStyle w:val="Normal"/>
        <w:spacing w:lineRule="auto" w:line="252"/>
        <w:ind w:left="592" w:right="228" w:hanging="0"/>
        <w:jc w:val="both"/>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r>
        <w:br w:type="page"/>
      </w:r>
    </w:p>
    <w:p>
      <w:pPr>
        <w:pStyle w:val="Normal"/>
        <w:spacing w:lineRule="auto" w:line="252"/>
        <w:ind w:left="592" w:right="228" w:hanging="0"/>
        <w:jc w:val="both"/>
        <w:rPr>
          <w:rFonts w:ascii="Arial" w:hAnsi="Arial" w:eastAsia="Arial" w:cs="Arial"/>
          <w:b/>
          <w:b/>
          <w:bCs/>
        </w:rPr>
      </w:pPr>
      <w:r>
        <w:rPr>
          <w:rFonts w:cs="Arial" w:ascii="Arial" w:hAnsi="Arial"/>
          <w:b/>
          <w:bCs/>
        </w:rPr>
        <w:t>GENERAL DESCRIPTION</w:t>
      </w:r>
      <w:r>
        <w:rPr>
          <w:b/>
          <w:bCs/>
        </w:rPr>
        <w:t xml:space="preserve">     </w:t>
        <w:tab/>
        <w:tab/>
        <w:t xml:space="preserve">     </w:t>
      </w:r>
    </w:p>
    <w:p>
      <w:pPr>
        <w:pStyle w:val="Normal"/>
        <w:spacing w:lineRule="auto" w:line="252"/>
        <w:ind w:left="592" w:right="228" w:hanging="0"/>
        <w:jc w:val="both"/>
        <w:rPr>
          <w:rFonts w:ascii="Arial" w:hAnsi="Arial" w:cs="Arial"/>
        </w:rPr>
      </w:pPr>
      <w:r>
        <w:rPr>
          <w:rFonts w:cs="Arial" w:ascii="Arial" w:hAnsi="Arial"/>
        </w:rPr>
        <w:t xml:space="preserve">The proposed Development, named Parkrose, is a single-family and duplex subdivision consisting of up to one-hundred eighty-two (182) homesites to be developed over four (4) phases. </w:t>
      </w:r>
    </w:p>
    <w:p>
      <w:pPr>
        <w:pStyle w:val="Normal"/>
        <w:spacing w:lineRule="auto" w:line="252"/>
        <w:ind w:left="592" w:right="228" w:hanging="0"/>
        <w:jc w:val="both"/>
        <w:rPr>
          <w:rFonts w:ascii="Arial" w:hAnsi="Arial" w:cs="Arial"/>
        </w:rPr>
      </w:pPr>
      <w:r>
        <w:rPr>
          <w:rFonts w:cs="Arial" w:ascii="Arial" w:hAnsi="Arial"/>
        </w:rPr>
      </w:r>
    </w:p>
    <w:p>
      <w:pPr>
        <w:pStyle w:val="Normal"/>
        <w:spacing w:lineRule="auto" w:line="252"/>
        <w:ind w:left="592" w:right="228" w:hanging="0"/>
        <w:jc w:val="both"/>
        <w:rPr>
          <w:rFonts w:ascii="Arial" w:hAnsi="Arial" w:cs="Arial"/>
        </w:rPr>
      </w:pPr>
      <w:r>
        <w:rPr>
          <w:rFonts w:cs="Arial" w:ascii="Arial" w:hAnsi="Arial"/>
        </w:rPr>
        <w:t xml:space="preserve">Parkrose features a mix of passive and active open spaces, including a network of paths, landscaped berms, and a gazebo/trellis with seating areas by the pond. Reduced lot widths for Paired Patio Units result in additional open space than would otherwise occur if wider lots were developed.  The layout of the site contributes to a more aesthetically pleasing community with a park-like environment.   Lots backing to open spaces increase home values (i.e., tax base) as they are more desirable to the vast majority of buyers.  As part of the development, Center Street will be extended, eliminating the disconnected street stubs and creating better connectivity for residents.  Additionally, Parkrose will replat the existing residences on the Parent Tract, creating frontage for one residence on an internal street and one on Center Street.  </w:t>
      </w:r>
    </w:p>
    <w:p>
      <w:pPr>
        <w:pStyle w:val="Normal"/>
        <w:spacing w:lineRule="auto" w:line="252"/>
        <w:ind w:left="592" w:right="228" w:hanging="0"/>
        <w:jc w:val="both"/>
        <w:rPr>
          <w:rFonts w:ascii="Arial" w:hAnsi="Arial" w:cs="Arial"/>
        </w:rPr>
      </w:pPr>
      <w:r>
        <w:rPr>
          <w:rFonts w:cs="Arial" w:ascii="Arial" w:hAnsi="Arial"/>
        </w:rPr>
      </w:r>
    </w:p>
    <w:p>
      <w:pPr>
        <w:pStyle w:val="Normal"/>
        <w:spacing w:lineRule="auto" w:line="252"/>
        <w:ind w:left="592" w:right="228" w:hanging="0"/>
        <w:jc w:val="both"/>
        <w:rPr>
          <w:rFonts w:ascii="Arial" w:hAnsi="Arial" w:cs="Arial"/>
          <w:caps/>
        </w:rPr>
      </w:pPr>
      <w:r>
        <w:rPr>
          <w:rFonts w:cs="Arial" w:ascii="Arial" w:hAnsi="Arial"/>
          <w:b/>
          <w:bCs/>
          <w:caps/>
        </w:rPr>
        <w:t>Housing Types</w:t>
      </w:r>
      <w:r>
        <w:rPr>
          <w:b/>
          <w:bCs/>
          <w:caps/>
        </w:rPr>
        <w:t xml:space="preserve"> </w:t>
      </w:r>
    </w:p>
    <w:p>
      <w:pPr>
        <w:pStyle w:val="Normal"/>
        <w:spacing w:lineRule="auto" w:line="252"/>
        <w:ind w:left="592" w:right="228" w:hanging="0"/>
        <w:jc w:val="both"/>
        <w:rPr>
          <w:rFonts w:ascii="Arial" w:hAnsi="Arial" w:cs="Arial"/>
        </w:rPr>
      </w:pPr>
      <w:r>
        <w:rPr>
          <w:rFonts w:cs="Arial" w:ascii="Arial" w:hAnsi="Arial"/>
        </w:rPr>
        <w:t xml:space="preserve">The applicant is proposing the Paired Patio Home Collection, the Maple Street Home Collection, and the Designer Home Collection.  The Paired Patio Home Collection targets buyers seeking low maintenance living.  The mandatory homeowners’ association provides mowing, snow plowing/pushing services for driveways and sidewalks, and front yard landscaping maintenance for the Paired Patio Home Collection.  The inclusion of these services makes the Paired Patio Home Collection ideal for retirees and busy young professionals.  </w:t>
      </w:r>
    </w:p>
    <w:p>
      <w:pPr>
        <w:pStyle w:val="Normal"/>
        <w:spacing w:lineRule="auto" w:line="252"/>
        <w:ind w:left="592" w:right="228" w:hanging="0"/>
        <w:jc w:val="both"/>
        <w:rPr>
          <w:rFonts w:ascii="Arial" w:hAnsi="Arial" w:cs="Arial"/>
        </w:rPr>
      </w:pPr>
      <w:r>
        <w:rPr>
          <w:rFonts w:cs="Arial" w:ascii="Arial" w:hAnsi="Arial"/>
        </w:rPr>
      </w:r>
    </w:p>
    <w:p>
      <w:pPr>
        <w:pStyle w:val="Normal"/>
        <w:spacing w:lineRule="auto" w:line="252"/>
        <w:ind w:left="592" w:right="228" w:hanging="0"/>
        <w:jc w:val="both"/>
        <w:rPr>
          <w:rFonts w:ascii="Arial" w:hAnsi="Arial" w:cs="Arial"/>
        </w:rPr>
      </w:pPr>
      <w:r>
        <w:rPr>
          <w:rFonts w:cs="Arial" w:ascii="Arial" w:hAnsi="Arial"/>
        </w:rPr>
        <w:t xml:space="preserve">The Maple Street Home Collection targets first-time homebuyers with young families.  The Designer Home Collection represents the intersection of high-quality design and affordability that appeals to a wide range of budgets and tastes, targeting a move-up or an affluent first-time homebuyer.  All products within Parkrose are served by a mandatory homeowner’s association.  </w:t>
      </w:r>
    </w:p>
    <w:p>
      <w:pPr>
        <w:pStyle w:val="Normal"/>
        <w:spacing w:lineRule="auto" w:line="252"/>
        <w:ind w:left="592" w:right="228" w:hanging="0"/>
        <w:jc w:val="both"/>
        <w:rPr>
          <w:rFonts w:ascii="Arial" w:hAnsi="Arial" w:eastAsia="Arial" w:cs="Arial"/>
          <w:i/>
          <w:i/>
          <w:iCs/>
          <w:sz w:val="20"/>
          <w:szCs w:val="20"/>
        </w:rPr>
      </w:pPr>
      <w:r>
        <w:rPr>
          <w:rFonts w:eastAsia="Arial" w:cs="Arial" w:ascii="Arial" w:hAnsi="Arial"/>
          <w:i/>
          <w:iCs/>
          <w:sz w:val="20"/>
          <w:szCs w:val="20"/>
        </w:rPr>
      </w:r>
    </w:p>
    <w:p>
      <w:pPr>
        <w:pStyle w:val="Normal"/>
        <w:spacing w:lineRule="auto" w:line="252"/>
        <w:ind w:left="592" w:right="228" w:hanging="0"/>
        <w:jc w:val="both"/>
        <w:rPr>
          <w:rFonts w:ascii="Arial" w:hAnsi="Arial" w:eastAsia="Arial" w:cs="Arial"/>
          <w:i/>
          <w:i/>
          <w:iCs/>
          <w:sz w:val="20"/>
          <w:szCs w:val="20"/>
        </w:rPr>
      </w:pPr>
      <w:r>
        <w:rPr>
          <w:rFonts w:eastAsia="Arial" w:cs="Arial" w:ascii="Arial" w:hAnsi="Arial"/>
          <w:i/>
          <w:iCs/>
          <w:sz w:val="20"/>
          <w:szCs w:val="20"/>
        </w:rPr>
      </w:r>
    </w:p>
    <w:p>
      <w:pPr>
        <w:pStyle w:val="Normal"/>
        <w:spacing w:lineRule="auto" w:line="252"/>
        <w:ind w:left="592" w:right="228" w:hanging="0"/>
        <w:jc w:val="both"/>
        <w:rPr>
          <w:rFonts w:ascii="Arial" w:hAnsi="Arial" w:eastAsia="Arial" w:cs="Arial"/>
          <w:i/>
          <w:i/>
          <w:iCs/>
          <w:sz w:val="20"/>
          <w:szCs w:val="20"/>
        </w:rPr>
      </w:pPr>
      <w:r>
        <w:rPr>
          <w:rFonts w:eastAsia="Arial" w:cs="Arial" w:ascii="Arial" w:hAnsi="Arial"/>
          <w:i/>
          <w:iCs/>
          <w:sz w:val="20"/>
          <w:szCs w:val="20"/>
        </w:rPr>
      </w:r>
    </w:p>
    <w:p>
      <w:pPr>
        <w:pStyle w:val="Normal"/>
        <w:spacing w:lineRule="auto" w:line="252"/>
        <w:ind w:left="592" w:right="228" w:hanging="0"/>
        <w:jc w:val="center"/>
        <w:rPr>
          <w:rFonts w:ascii="Arial" w:hAnsi="Arial" w:cs="Arial"/>
          <w:color w:val="FF0000"/>
        </w:rPr>
      </w:pPr>
      <w:r>
        <w:rPr>
          <w:rFonts w:eastAsia="Arial" w:cs="Arial" w:ascii="Arial" w:hAnsi="Arial"/>
          <w:i/>
          <w:iCs/>
          <w:sz w:val="20"/>
          <w:szCs w:val="20"/>
        </w:rPr>
        <w:t>(remainder of page intentionally left blank)</w:t>
      </w:r>
    </w:p>
    <w:p>
      <w:pPr>
        <w:pStyle w:val="Normal"/>
        <w:spacing w:lineRule="auto" w:line="252"/>
        <w:ind w:right="362" w:hanging="0"/>
        <w:jc w:val="both"/>
        <w:rPr>
          <w:rFonts w:ascii="Arial" w:hAnsi="Arial" w:cs="Arial"/>
        </w:rPr>
      </w:pPr>
      <w:r>
        <w:rPr>
          <w:rFonts w:cs="Arial" w:ascii="Arial" w:hAnsi="Arial"/>
        </w:rPr>
      </w:r>
    </w:p>
    <w:p>
      <w:pPr>
        <w:pStyle w:val="Normal"/>
        <w:spacing w:lineRule="exact" w:line="200"/>
        <w:rPr>
          <w:sz w:val="20"/>
          <w:szCs w:val="20"/>
        </w:rPr>
      </w:pPr>
      <w:r>
        <w:rPr>
          <w:sz w:val="20"/>
          <w:szCs w:val="20"/>
        </w:rPr>
      </w:r>
    </w:p>
    <w:p>
      <w:pPr>
        <w:pStyle w:val="Normal"/>
        <w:rPr>
          <w:rFonts w:ascii="Arial" w:hAnsi="Arial" w:eastAsia="Arial" w:cs="Arial"/>
          <w:b/>
          <w:b/>
          <w:w w:val="89"/>
          <w:u w:val="single" w:color="000000"/>
        </w:rPr>
      </w:pPr>
      <w:r>
        <w:rPr>
          <w:rFonts w:eastAsia="Arial" w:cs="Arial" w:ascii="Arial" w:hAnsi="Arial"/>
          <w:b/>
          <w:w w:val="89"/>
          <w:u w:val="single" w:color="000000"/>
        </w:rPr>
      </w:r>
      <w:r>
        <w:br w:type="page"/>
      </w:r>
    </w:p>
    <w:p>
      <w:pPr>
        <w:pStyle w:val="Normal"/>
        <w:ind w:left="1718" w:right="-20" w:hanging="0"/>
        <w:rPr>
          <w:rFonts w:ascii="Arial" w:hAnsi="Arial" w:eastAsia="Arial" w:cs="Arial"/>
          <w:b/>
          <w:b/>
        </w:rPr>
      </w:pPr>
      <w:r>
        <w:rPr>
          <w:rFonts w:eastAsia="Arial" w:cs="Arial" w:ascii="Arial" w:hAnsi="Arial"/>
          <w:b/>
          <w:w w:val="89"/>
          <w:u w:val="single" w:color="000000"/>
        </w:rPr>
        <w:t>TABLE</w:t>
      </w:r>
      <w:r>
        <w:rPr>
          <w:rFonts w:eastAsia="Arial" w:cs="Arial" w:ascii="Arial" w:hAnsi="Arial"/>
          <w:b/>
          <w:spacing w:val="7"/>
          <w:w w:val="89"/>
          <w:u w:val="single" w:color="000000"/>
        </w:rPr>
        <w:t xml:space="preserve"> </w:t>
      </w:r>
      <w:r>
        <w:rPr>
          <w:rFonts w:eastAsia="Arial" w:cs="Arial" w:ascii="Arial" w:hAnsi="Arial"/>
          <w:b/>
          <w:u w:val="single" w:color="000000"/>
        </w:rPr>
        <w:t xml:space="preserve">3. </w:t>
      </w:r>
      <w:r>
        <w:rPr>
          <w:rFonts w:eastAsia="Arial" w:cs="Arial" w:ascii="Arial" w:hAnsi="Arial"/>
          <w:b/>
          <w:w w:val="91"/>
          <w:u w:val="single" w:color="000000"/>
        </w:rPr>
        <w:t>RESIDENTIAL</w:t>
      </w:r>
      <w:r>
        <w:rPr>
          <w:rFonts w:eastAsia="Arial" w:cs="Arial" w:ascii="Arial" w:hAnsi="Arial"/>
          <w:b/>
          <w:spacing w:val="-10"/>
          <w:w w:val="91"/>
          <w:u w:val="single" w:color="000000"/>
        </w:rPr>
        <w:t xml:space="preserve"> </w:t>
      </w:r>
      <w:r>
        <w:rPr>
          <w:rFonts w:eastAsia="Arial" w:cs="Arial" w:ascii="Arial" w:hAnsi="Arial"/>
          <w:b/>
          <w:w w:val="91"/>
          <w:u w:val="single" w:color="000000"/>
        </w:rPr>
        <w:t>DEVELOPMENT</w:t>
      </w:r>
      <w:r>
        <w:rPr>
          <w:rFonts w:eastAsia="Arial" w:cs="Arial" w:ascii="Arial" w:hAnsi="Arial"/>
          <w:b/>
          <w:spacing w:val="42"/>
          <w:w w:val="91"/>
          <w:u w:val="single" w:color="000000"/>
        </w:rPr>
        <w:t xml:space="preserve"> </w:t>
      </w:r>
      <w:r>
        <w:rPr>
          <w:rFonts w:eastAsia="Arial" w:cs="Arial" w:ascii="Arial" w:hAnsi="Arial"/>
          <w:b/>
          <w:u w:val="single" w:color="000000"/>
        </w:rPr>
        <w:t>STANDARDS</w:t>
      </w:r>
    </w:p>
    <w:p>
      <w:pPr>
        <w:pStyle w:val="Normal"/>
        <w:spacing w:lineRule="exact" w:line="190" w:before="8" w:after="0"/>
        <w:rPr>
          <w:sz w:val="19"/>
          <w:szCs w:val="19"/>
        </w:rPr>
      </w:pPr>
      <w:r>
        <w:rPr>
          <w:sz w:val="19"/>
          <w:szCs w:val="19"/>
        </w:rPr>
      </w:r>
    </w:p>
    <w:tbl>
      <w:tblPr>
        <w:tblW w:w="9155" w:type="dxa"/>
        <w:jc w:val="left"/>
        <w:tblInd w:w="110" w:type="dxa"/>
        <w:tblLayout w:type="fixed"/>
        <w:tblCellMar>
          <w:top w:w="0" w:type="dxa"/>
          <w:left w:w="5" w:type="dxa"/>
          <w:bottom w:w="0" w:type="dxa"/>
          <w:right w:w="5" w:type="dxa"/>
        </w:tblCellMar>
        <w:tblLook w:firstRow="1" w:noVBand="0" w:lastRow="1" w:firstColumn="1" w:lastColumn="1" w:noHBand="0" w:val="01e0"/>
      </w:tblPr>
      <w:tblGrid>
        <w:gridCol w:w="4385"/>
        <w:gridCol w:w="4769"/>
      </w:tblGrid>
      <w:tr>
        <w:trPr>
          <w:trHeight w:val="343"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8" w:after="0"/>
              <w:rPr>
                <w:sz w:val="12"/>
                <w:szCs w:val="12"/>
              </w:rPr>
            </w:pPr>
            <w:r>
              <w:rPr>
                <w:sz w:val="12"/>
                <w:szCs w:val="12"/>
              </w:rPr>
            </w:r>
          </w:p>
          <w:p>
            <w:pPr>
              <w:pStyle w:val="Normal"/>
              <w:widowControl w:val="false"/>
              <w:ind w:left="105" w:right="-20" w:hanging="0"/>
              <w:jc w:val="center"/>
              <w:rPr>
                <w:rFonts w:ascii="Arial" w:hAnsi="Arial" w:eastAsia="Arial" w:cs="Arial"/>
                <w:sz w:val="19"/>
                <w:szCs w:val="19"/>
              </w:rPr>
            </w:pPr>
            <w:r>
              <w:rPr>
                <w:rFonts w:eastAsia="Arial" w:cs="Arial" w:ascii="Arial" w:hAnsi="Arial"/>
                <w:b/>
                <w:bCs/>
                <w:spacing w:val="1"/>
                <w:w w:val="103"/>
                <w:sz w:val="19"/>
                <w:szCs w:val="19"/>
              </w:rPr>
              <w:t>It</w:t>
            </w:r>
            <w:r>
              <w:rPr>
                <w:rFonts w:eastAsia="Arial" w:cs="Arial" w:ascii="Arial" w:hAnsi="Arial"/>
                <w:b/>
                <w:bCs/>
                <w:spacing w:val="2"/>
                <w:w w:val="103"/>
                <w:sz w:val="19"/>
                <w:szCs w:val="19"/>
              </w:rPr>
              <w:t>e</w:t>
            </w:r>
            <w:r>
              <w:rPr>
                <w:rFonts w:eastAsia="Arial" w:cs="Arial" w:ascii="Arial" w:hAnsi="Arial"/>
                <w:b/>
                <w:bCs/>
                <w:w w:val="97"/>
                <w:sz w:val="19"/>
                <w:szCs w:val="19"/>
              </w:rPr>
              <w:t>m</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8" w:after="0"/>
              <w:rPr>
                <w:sz w:val="12"/>
                <w:szCs w:val="12"/>
              </w:rPr>
            </w:pPr>
            <w:r>
              <w:rPr>
                <w:sz w:val="12"/>
                <w:szCs w:val="12"/>
              </w:rPr>
            </w:r>
          </w:p>
          <w:p>
            <w:pPr>
              <w:pStyle w:val="Normal"/>
              <w:widowControl w:val="false"/>
              <w:ind w:left="1610" w:right="1598" w:hanging="0"/>
              <w:jc w:val="center"/>
              <w:rPr>
                <w:rFonts w:ascii="Arial" w:hAnsi="Arial" w:eastAsia="Arial" w:cs="Arial"/>
                <w:sz w:val="19"/>
                <w:szCs w:val="19"/>
              </w:rPr>
            </w:pPr>
            <w:r>
              <w:rPr>
                <w:rFonts w:eastAsia="Arial" w:cs="Arial" w:ascii="Arial" w:hAnsi="Arial"/>
                <w:b/>
                <w:bCs/>
                <w:spacing w:val="2"/>
                <w:w w:val="90"/>
                <w:sz w:val="19"/>
                <w:szCs w:val="19"/>
              </w:rPr>
              <w:t>Re</w:t>
            </w:r>
            <w:r>
              <w:rPr>
                <w:rFonts w:eastAsia="Arial" w:cs="Arial" w:ascii="Arial" w:hAnsi="Arial"/>
                <w:b/>
                <w:bCs/>
                <w:spacing w:val="2"/>
                <w:w w:val="94"/>
                <w:sz w:val="19"/>
                <w:szCs w:val="19"/>
              </w:rPr>
              <w:t>qu</w:t>
            </w:r>
            <w:r>
              <w:rPr>
                <w:rFonts w:eastAsia="Arial" w:cs="Arial" w:ascii="Arial" w:hAnsi="Arial"/>
                <w:b/>
                <w:bCs/>
                <w:spacing w:val="1"/>
                <w:w w:val="103"/>
                <w:sz w:val="19"/>
                <w:szCs w:val="19"/>
              </w:rPr>
              <w:t>ir</w:t>
            </w:r>
            <w:r>
              <w:rPr>
                <w:rFonts w:eastAsia="Arial" w:cs="Arial" w:ascii="Arial" w:hAnsi="Arial"/>
                <w:b/>
                <w:bCs/>
                <w:spacing w:val="2"/>
                <w:w w:val="93"/>
                <w:sz w:val="19"/>
                <w:szCs w:val="19"/>
              </w:rPr>
              <w:t>e</w:t>
            </w:r>
            <w:r>
              <w:rPr>
                <w:rFonts w:eastAsia="Arial" w:cs="Arial" w:ascii="Arial" w:hAnsi="Arial"/>
                <w:b/>
                <w:bCs/>
                <w:spacing w:val="3"/>
                <w:w w:val="97"/>
                <w:sz w:val="19"/>
                <w:szCs w:val="19"/>
              </w:rPr>
              <w:t>m</w:t>
            </w:r>
            <w:r>
              <w:rPr>
                <w:rFonts w:eastAsia="Arial" w:cs="Arial" w:ascii="Arial" w:hAnsi="Arial"/>
                <w:b/>
                <w:bCs/>
                <w:spacing w:val="2"/>
                <w:w w:val="93"/>
                <w:sz w:val="19"/>
                <w:szCs w:val="19"/>
              </w:rPr>
              <w:t>e</w:t>
            </w:r>
            <w:r>
              <w:rPr>
                <w:rFonts w:eastAsia="Arial" w:cs="Arial" w:ascii="Arial" w:hAnsi="Arial"/>
                <w:b/>
                <w:bCs/>
                <w:spacing w:val="2"/>
                <w:w w:val="94"/>
                <w:sz w:val="19"/>
                <w:szCs w:val="19"/>
              </w:rPr>
              <w:t>n</w:t>
            </w:r>
            <w:r>
              <w:rPr>
                <w:rFonts w:eastAsia="Arial" w:cs="Arial" w:ascii="Arial" w:hAnsi="Arial"/>
                <w:b/>
                <w:bCs/>
                <w:w w:val="103"/>
                <w:sz w:val="19"/>
                <w:szCs w:val="19"/>
              </w:rPr>
              <w:t>t</w:t>
            </w:r>
          </w:p>
        </w:tc>
      </w:tr>
      <w:tr>
        <w:trPr>
          <w:trHeight w:val="361"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pacing w:val="2"/>
                <w:sz w:val="19"/>
                <w:szCs w:val="19"/>
              </w:rPr>
              <w:t>Minimum F</w:t>
            </w:r>
            <w:r>
              <w:rPr>
                <w:rFonts w:eastAsia="Arial" w:cs="Arial" w:ascii="Arial" w:hAnsi="Arial"/>
                <w:spacing w:val="1"/>
                <w:sz w:val="19"/>
                <w:szCs w:val="19"/>
              </w:rPr>
              <w:t>r</w:t>
            </w:r>
            <w:r>
              <w:rPr>
                <w:rFonts w:eastAsia="Arial" w:cs="Arial" w:ascii="Arial" w:hAnsi="Arial"/>
                <w:spacing w:val="2"/>
                <w:sz w:val="19"/>
                <w:szCs w:val="19"/>
              </w:rPr>
              <w:t>on</w:t>
            </w:r>
            <w:r>
              <w:rPr>
                <w:rFonts w:eastAsia="Arial" w:cs="Arial" w:ascii="Arial" w:hAnsi="Arial"/>
                <w:sz w:val="19"/>
                <w:szCs w:val="19"/>
              </w:rPr>
              <w:t>t</w:t>
            </w:r>
            <w:r>
              <w:rPr>
                <w:rFonts w:eastAsia="Arial" w:cs="Arial" w:ascii="Arial" w:hAnsi="Arial"/>
                <w:spacing w:val="-4"/>
                <w:sz w:val="19"/>
                <w:szCs w:val="19"/>
              </w:rPr>
              <w:t xml:space="preserve"> </w:t>
            </w:r>
            <w:r>
              <w:rPr>
                <w:rFonts w:eastAsia="Arial" w:cs="Arial" w:ascii="Arial" w:hAnsi="Arial"/>
                <w:spacing w:val="2"/>
                <w:w w:val="104"/>
                <w:sz w:val="19"/>
                <w:szCs w:val="19"/>
              </w:rPr>
              <w:t>Bu</w:t>
            </w:r>
            <w:r>
              <w:rPr>
                <w:rFonts w:eastAsia="Arial" w:cs="Arial" w:ascii="Arial" w:hAnsi="Arial"/>
                <w:spacing w:val="1"/>
                <w:w w:val="104"/>
                <w:sz w:val="19"/>
                <w:szCs w:val="19"/>
              </w:rPr>
              <w:t>il</w:t>
            </w:r>
            <w:r>
              <w:rPr>
                <w:rFonts w:eastAsia="Arial" w:cs="Arial" w:ascii="Arial" w:hAnsi="Arial"/>
                <w:spacing w:val="2"/>
                <w:w w:val="104"/>
                <w:sz w:val="19"/>
                <w:szCs w:val="19"/>
              </w:rPr>
              <w:t>d</w:t>
            </w:r>
            <w:r>
              <w:rPr>
                <w:rFonts w:eastAsia="Arial" w:cs="Arial" w:ascii="Arial" w:hAnsi="Arial"/>
                <w:spacing w:val="1"/>
                <w:w w:val="104"/>
                <w:sz w:val="19"/>
                <w:szCs w:val="19"/>
              </w:rPr>
              <w:t>i</w:t>
            </w:r>
            <w:r>
              <w:rPr>
                <w:rFonts w:eastAsia="Arial" w:cs="Arial" w:ascii="Arial" w:hAnsi="Arial"/>
                <w:spacing w:val="2"/>
                <w:w w:val="104"/>
                <w:sz w:val="19"/>
                <w:szCs w:val="19"/>
              </w:rPr>
              <w:t>n</w:t>
            </w:r>
            <w:r>
              <w:rPr>
                <w:rFonts w:eastAsia="Arial" w:cs="Arial" w:ascii="Arial" w:hAnsi="Arial"/>
                <w:w w:val="104"/>
                <w:sz w:val="19"/>
                <w:szCs w:val="19"/>
              </w:rPr>
              <w:t>g</w:t>
            </w:r>
            <w:r>
              <w:rPr>
                <w:rFonts w:eastAsia="Arial" w:cs="Arial" w:ascii="Arial" w:hAnsi="Arial"/>
                <w:spacing w:val="6"/>
                <w:w w:val="104"/>
                <w:sz w:val="19"/>
                <w:szCs w:val="19"/>
              </w:rPr>
              <w:t xml:space="preserve"> </w:t>
            </w:r>
            <w:r>
              <w:rPr>
                <w:rFonts w:eastAsia="Arial" w:cs="Arial" w:ascii="Arial" w:hAnsi="Arial"/>
                <w:spacing w:val="2"/>
                <w:sz w:val="19"/>
                <w:szCs w:val="19"/>
              </w:rPr>
              <w:t>Se</w:t>
            </w:r>
            <w:r>
              <w:rPr>
                <w:rFonts w:eastAsia="Arial" w:cs="Arial" w:ascii="Arial" w:hAnsi="Arial"/>
                <w:spacing w:val="1"/>
                <w:sz w:val="19"/>
                <w:szCs w:val="19"/>
              </w:rPr>
              <w:t>t</w:t>
            </w:r>
            <w:r>
              <w:rPr>
                <w:rFonts w:eastAsia="Arial" w:cs="Arial" w:ascii="Arial" w:hAnsi="Arial"/>
                <w:spacing w:val="2"/>
                <w:sz w:val="19"/>
                <w:szCs w:val="19"/>
              </w:rPr>
              <w:t>back</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2088" w:right="2074" w:hanging="0"/>
              <w:jc w:val="center"/>
              <w:rPr>
                <w:rFonts w:ascii="Arial" w:hAnsi="Arial" w:eastAsia="Arial" w:cs="Arial"/>
                <w:sz w:val="19"/>
                <w:szCs w:val="19"/>
              </w:rPr>
            </w:pPr>
            <w:r>
              <w:rPr>
                <w:rFonts w:eastAsia="Arial" w:cs="Arial" w:ascii="Arial" w:hAnsi="Arial"/>
                <w:sz w:val="19"/>
                <w:szCs w:val="19"/>
              </w:rPr>
              <w:t>25’</w:t>
            </w:r>
          </w:p>
        </w:tc>
      </w:tr>
      <w:tr>
        <w:trPr>
          <w:trHeight w:val="568"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pacing w:val="2"/>
                <w:sz w:val="19"/>
                <w:szCs w:val="19"/>
              </w:rPr>
              <w:t>Minimum Perimeter Se</w:t>
            </w:r>
            <w:r>
              <w:rPr>
                <w:rFonts w:eastAsia="Arial" w:cs="Arial" w:ascii="Arial" w:hAnsi="Arial"/>
                <w:spacing w:val="1"/>
                <w:sz w:val="19"/>
                <w:szCs w:val="19"/>
              </w:rPr>
              <w:t>t</w:t>
            </w:r>
            <w:r>
              <w:rPr>
                <w:rFonts w:eastAsia="Arial" w:cs="Arial" w:ascii="Arial" w:hAnsi="Arial"/>
                <w:spacing w:val="2"/>
                <w:sz w:val="19"/>
                <w:szCs w:val="19"/>
              </w:rPr>
              <w:t>back</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105" w:right="-20" w:hanging="0"/>
              <w:jc w:val="center"/>
              <w:rPr>
                <w:rFonts w:ascii="Arial" w:hAnsi="Arial" w:eastAsia="Arial" w:cs="Arial"/>
                <w:sz w:val="10"/>
                <w:szCs w:val="10"/>
              </w:rPr>
            </w:pPr>
            <w:r>
              <w:rPr>
                <w:rFonts w:eastAsia="Arial" w:cs="Arial" w:ascii="Arial" w:hAnsi="Arial"/>
                <w:sz w:val="10"/>
                <w:szCs w:val="10"/>
              </w:rPr>
            </w:r>
          </w:p>
          <w:p>
            <w:pPr>
              <w:pStyle w:val="Normal"/>
              <w:widowControl w:val="false"/>
              <w:ind w:left="105" w:right="-20" w:hanging="0"/>
              <w:jc w:val="center"/>
              <w:rPr>
                <w:rFonts w:ascii="Arial" w:hAnsi="Arial" w:eastAsia="Arial" w:cs="Arial"/>
                <w:sz w:val="19"/>
                <w:szCs w:val="19"/>
              </w:rPr>
            </w:pPr>
            <w:r>
              <w:rPr>
                <w:rFonts w:eastAsia="Arial" w:cs="Arial" w:ascii="Arial" w:hAnsi="Arial"/>
                <w:sz w:val="19"/>
                <w:szCs w:val="19"/>
              </w:rPr>
              <w:t>40’ along Franklin Street and Davis Road</w:t>
            </w:r>
          </w:p>
        </w:tc>
      </w:tr>
      <w:tr>
        <w:trPr>
          <w:trHeight w:val="595"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pacing w:val="2"/>
                <w:sz w:val="19"/>
                <w:szCs w:val="19"/>
              </w:rPr>
              <w:t>Minimum Distance between Buildings</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3860" w:right="91" w:hanging="3860"/>
              <w:jc w:val="center"/>
              <w:rPr>
                <w:rFonts w:ascii="Arial" w:hAnsi="Arial" w:eastAsia="Arial" w:cs="Arial"/>
                <w:sz w:val="19"/>
                <w:szCs w:val="19"/>
              </w:rPr>
            </w:pPr>
            <w:r>
              <w:rPr>
                <w:rFonts w:eastAsia="Arial" w:cs="Arial" w:ascii="Arial" w:hAnsi="Arial"/>
                <w:sz w:val="19"/>
                <w:szCs w:val="19"/>
              </w:rPr>
              <w:t>12’- Single Family (MSH and Designer)</w:t>
            </w:r>
          </w:p>
          <w:p>
            <w:pPr>
              <w:pStyle w:val="Normal"/>
              <w:widowControl w:val="false"/>
              <w:ind w:left="3860" w:right="91" w:hanging="3860"/>
              <w:jc w:val="center"/>
              <w:rPr>
                <w:rFonts w:ascii="Arial" w:hAnsi="Arial" w:eastAsia="Arial" w:cs="Arial"/>
                <w:sz w:val="19"/>
                <w:szCs w:val="19"/>
              </w:rPr>
            </w:pPr>
            <w:r>
              <w:rPr>
                <w:rFonts w:eastAsia="Arial" w:cs="Arial" w:ascii="Arial" w:hAnsi="Arial"/>
                <w:sz w:val="19"/>
                <w:szCs w:val="19"/>
              </w:rPr>
              <w:t>12’- per combined Paired lots XX-a and XX-b- Paired</w:t>
            </w:r>
          </w:p>
          <w:p>
            <w:pPr>
              <w:pStyle w:val="Normal"/>
              <w:widowControl w:val="false"/>
              <w:ind w:left="3860" w:right="91" w:hanging="3860"/>
              <w:jc w:val="center"/>
              <w:rPr>
                <w:rFonts w:ascii="Arial" w:hAnsi="Arial" w:eastAsia="Arial" w:cs="Arial"/>
                <w:sz w:val="19"/>
                <w:szCs w:val="19"/>
              </w:rPr>
            </w:pPr>
            <w:r>
              <w:rPr>
                <w:rFonts w:eastAsia="Arial" w:cs="Arial" w:ascii="Arial" w:hAnsi="Arial"/>
                <w:sz w:val="19"/>
                <w:szCs w:val="19"/>
              </w:rPr>
            </w:r>
          </w:p>
        </w:tc>
      </w:tr>
      <w:tr>
        <w:trPr>
          <w:trHeight w:val="640"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ind w:left="105" w:right="-20" w:hanging="0"/>
              <w:rPr>
                <w:rFonts w:ascii="Arial" w:hAnsi="Arial" w:eastAsia="Arial" w:cs="Arial"/>
                <w:sz w:val="19"/>
                <w:szCs w:val="19"/>
              </w:rPr>
            </w:pPr>
            <w:r>
              <w:rPr>
                <w:rFonts w:eastAsia="Arial" w:cs="Arial" w:ascii="Arial" w:hAnsi="Arial"/>
                <w:sz w:val="19"/>
                <w:szCs w:val="19"/>
              </w:rPr>
            </w:r>
          </w:p>
          <w:p>
            <w:pPr>
              <w:pStyle w:val="Normal"/>
              <w:widowControl w:val="false"/>
              <w:ind w:left="105" w:right="-20" w:hanging="0"/>
              <w:rPr>
                <w:rFonts w:ascii="Arial" w:hAnsi="Arial" w:cs="Arial"/>
                <w:sz w:val="19"/>
                <w:szCs w:val="19"/>
              </w:rPr>
            </w:pPr>
            <w:r>
              <w:rPr>
                <w:rFonts w:eastAsia="Arial" w:cs="Arial" w:ascii="Arial" w:hAnsi="Arial"/>
                <w:sz w:val="19"/>
                <w:szCs w:val="19"/>
              </w:rPr>
              <w:t>Minimum Side Yard Setback</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3860" w:right="91" w:hanging="3860"/>
              <w:jc w:val="center"/>
              <w:rPr>
                <w:rFonts w:ascii="Arial" w:hAnsi="Arial" w:eastAsia="Arial" w:cs="Arial"/>
                <w:sz w:val="19"/>
                <w:szCs w:val="19"/>
              </w:rPr>
            </w:pPr>
            <w:r>
              <w:rPr>
                <w:rFonts w:eastAsia="Arial" w:cs="Arial" w:ascii="Arial" w:hAnsi="Arial"/>
                <w:sz w:val="19"/>
                <w:szCs w:val="19"/>
              </w:rPr>
              <w:t>5’- Single Family (MSH and Designer)</w:t>
            </w:r>
          </w:p>
          <w:p>
            <w:pPr>
              <w:pStyle w:val="Normal"/>
              <w:widowControl w:val="false"/>
              <w:ind w:left="3860" w:right="91" w:hanging="3860"/>
              <w:jc w:val="center"/>
              <w:rPr>
                <w:rFonts w:ascii="Arial" w:hAnsi="Arial" w:eastAsia="Arial" w:cs="Arial"/>
                <w:sz w:val="19"/>
                <w:szCs w:val="19"/>
              </w:rPr>
            </w:pPr>
            <w:r>
              <w:rPr>
                <w:rFonts w:eastAsia="Arial" w:cs="Arial" w:ascii="Arial" w:hAnsi="Arial"/>
                <w:sz w:val="19"/>
                <w:szCs w:val="19"/>
              </w:rPr>
              <w:t>5’- per combined Paired lots XX-a and XX-b- Paired</w:t>
            </w:r>
          </w:p>
        </w:tc>
      </w:tr>
      <w:tr>
        <w:trPr>
          <w:trHeight w:val="361"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cs="Arial"/>
                <w:sz w:val="19"/>
                <w:szCs w:val="19"/>
              </w:rPr>
            </w:pPr>
            <w:r>
              <w:rPr>
                <w:rFonts w:eastAsia="Arial" w:cs="Arial" w:ascii="Arial" w:hAnsi="Arial"/>
                <w:spacing w:val="2"/>
                <w:sz w:val="19"/>
                <w:szCs w:val="19"/>
              </w:rPr>
              <w:t>Minimum Rear Yard Setback</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2088" w:right="2074" w:hanging="0"/>
              <w:jc w:val="center"/>
              <w:rPr>
                <w:rFonts w:ascii="Arial" w:hAnsi="Arial" w:eastAsia="Arial" w:cs="Arial"/>
                <w:sz w:val="19"/>
                <w:szCs w:val="19"/>
              </w:rPr>
            </w:pPr>
            <w:r>
              <w:rPr>
                <w:rFonts w:eastAsia="Arial" w:cs="Arial" w:ascii="Arial" w:hAnsi="Arial"/>
                <w:sz w:val="19"/>
                <w:szCs w:val="19"/>
              </w:rPr>
              <w:t>20’</w:t>
            </w:r>
          </w:p>
        </w:tc>
      </w:tr>
      <w:tr>
        <w:trPr>
          <w:trHeight w:val="532"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ind w:left="105" w:right="-20" w:hanging="0"/>
              <w:rPr>
                <w:rFonts w:ascii="Arial" w:hAnsi="Arial" w:cs="Arial"/>
                <w:sz w:val="19"/>
                <w:szCs w:val="19"/>
              </w:rPr>
            </w:pPr>
            <w:r>
              <w:rPr>
                <w:rFonts w:cs="Arial" w:ascii="Arial" w:hAnsi="Arial"/>
                <w:sz w:val="19"/>
                <w:szCs w:val="19"/>
              </w:rPr>
              <w:t>Minimum Rear Yard Clearance from Back of Primary Building to an Easement</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2088" w:right="2074" w:hanging="0"/>
              <w:jc w:val="center"/>
              <w:rPr>
                <w:rFonts w:ascii="Arial" w:hAnsi="Arial" w:eastAsia="Arial" w:cs="Arial"/>
                <w:sz w:val="19"/>
                <w:szCs w:val="19"/>
              </w:rPr>
            </w:pPr>
            <w:r>
              <w:rPr>
                <w:rFonts w:eastAsia="Arial" w:cs="Arial" w:ascii="Arial" w:hAnsi="Arial"/>
                <w:sz w:val="19"/>
                <w:szCs w:val="19"/>
              </w:rPr>
              <w:t>20’</w:t>
            </w:r>
          </w:p>
        </w:tc>
      </w:tr>
      <w:tr>
        <w:trPr>
          <w:trHeight w:val="361"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Maximum Building Height</w:t>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2088" w:right="2074" w:hanging="0"/>
              <w:jc w:val="center"/>
              <w:rPr>
                <w:rFonts w:ascii="Arial" w:hAnsi="Arial" w:eastAsia="Arial" w:cs="Arial"/>
                <w:sz w:val="19"/>
                <w:szCs w:val="19"/>
              </w:rPr>
            </w:pPr>
            <w:r>
              <w:rPr>
                <w:rFonts w:eastAsia="Arial" w:cs="Arial" w:ascii="Arial" w:hAnsi="Arial"/>
                <w:sz w:val="19"/>
                <w:szCs w:val="19"/>
              </w:rPr>
              <w:t>35’</w:t>
            </w:r>
          </w:p>
        </w:tc>
      </w:tr>
      <w:tr>
        <w:trPr>
          <w:trHeight w:val="514"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Minimum Lot Width</w:t>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r>
          </w:p>
        </w:tc>
        <w:tc>
          <w:tcPr>
            <w:tcW w:w="4769" w:type="dxa"/>
            <w:tcBorders>
              <w:top w:val="single" w:sz="4" w:space="0" w:color="000000"/>
              <w:left w:val="single" w:sz="4" w:space="0" w:color="000000"/>
              <w:bottom w:val="single" w:sz="4" w:space="0" w:color="000000"/>
              <w:right w:val="single" w:sz="4" w:space="0" w:color="000000"/>
            </w:tcBorders>
          </w:tcPr>
          <w:p>
            <w:pPr>
              <w:pStyle w:val="Normal"/>
              <w:widowControl w:val="false"/>
              <w:ind w:left="3" w:right="89" w:hanging="0"/>
              <w:jc w:val="center"/>
              <w:rPr>
                <w:rFonts w:ascii="Arial" w:hAnsi="Arial" w:eastAsia="Arial" w:cs="Arial"/>
                <w:sz w:val="19"/>
                <w:szCs w:val="19"/>
              </w:rPr>
            </w:pPr>
            <w:r>
              <w:rPr>
                <w:rFonts w:eastAsia="Arial" w:cs="Arial" w:ascii="Arial" w:hAnsi="Arial"/>
                <w:sz w:val="19"/>
                <w:szCs w:val="19"/>
              </w:rPr>
              <w:t>60’ – Single Family (MSH and Designer)</w:t>
            </w:r>
          </w:p>
          <w:p>
            <w:pPr>
              <w:pStyle w:val="Normal"/>
              <w:widowControl w:val="false"/>
              <w:ind w:left="3" w:right="89" w:hanging="0"/>
              <w:jc w:val="center"/>
              <w:rPr>
                <w:rFonts w:ascii="Arial" w:hAnsi="Arial" w:eastAsia="Arial" w:cs="Arial"/>
                <w:sz w:val="19"/>
                <w:szCs w:val="19"/>
              </w:rPr>
            </w:pPr>
            <w:r>
              <w:rPr>
                <w:rFonts w:eastAsia="Arial" w:cs="Arial" w:ascii="Arial" w:hAnsi="Arial"/>
                <w:sz w:val="19"/>
                <w:szCs w:val="19"/>
              </w:rPr>
              <w:t>68’ - per combined Paired lots XX-a and XX-b-  Paired</w:t>
            </w:r>
          </w:p>
        </w:tc>
      </w:tr>
      <w:tr>
        <w:trPr>
          <w:trHeight w:val="1090"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Minimum Lot Area</w:t>
            </w:r>
          </w:p>
        </w:tc>
        <w:tc>
          <w:tcPr>
            <w:tcW w:w="47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5" w:right="155" w:hanging="0"/>
              <w:jc w:val="center"/>
              <w:rPr>
                <w:rFonts w:ascii="Arial" w:hAnsi="Arial" w:eastAsia="Arial" w:cs="Arial"/>
                <w:sz w:val="19"/>
                <w:szCs w:val="19"/>
              </w:rPr>
            </w:pPr>
            <w:r>
              <w:rPr>
                <w:rFonts w:eastAsia="Arial" w:cs="Arial" w:ascii="Arial" w:hAnsi="Arial"/>
                <w:sz w:val="19"/>
                <w:szCs w:val="19"/>
              </w:rPr>
              <w:t>7,000 square feet - Single Family (MSH and Designer)</w:t>
              <w:br/>
              <w:t>3,500 per lot/7,000 square feet- per combined Paired lots XX-a and XX-b-  Paired</w:t>
            </w:r>
          </w:p>
        </w:tc>
      </w:tr>
      <w:tr>
        <w:trPr>
          <w:trHeight w:val="3295"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Garages and Driveways</w:t>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r>
          </w:p>
        </w:tc>
        <w:tc>
          <w:tcPr>
            <w:tcW w:w="476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ind w:left="135" w:right="155" w:hanging="0"/>
              <w:rPr>
                <w:rFonts w:ascii="Arial" w:hAnsi="Arial" w:eastAsia="Arial" w:cs="Arial"/>
                <w:sz w:val="19"/>
                <w:szCs w:val="19"/>
              </w:rPr>
            </w:pPr>
            <w:r>
              <w:rPr>
                <w:rFonts w:eastAsia="Arial" w:cs="Arial" w:ascii="Arial" w:hAnsi="Arial"/>
                <w:sz w:val="19"/>
                <w:szCs w:val="19"/>
              </w:rPr>
              <w:t>Each house shall have an attached garage that accommodates no fewer than two (2) cars.  All homes shall have a minimum of four (4) parking spaces on each lot, which includes two (2) enclosed by the garage and two (2) spaces in front of the garage, located between the garage and the street.</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t>An example of the paired driveway configuration is attached as Exhibit D.</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r>
          </w:p>
          <w:p>
            <w:pPr>
              <w:pStyle w:val="Normal"/>
              <w:widowControl w:val="false"/>
              <w:ind w:left="135" w:right="155" w:hanging="0"/>
              <w:rPr>
                <w:rFonts w:ascii="Arial" w:hAnsi="Arial" w:eastAsia="Arial" w:cs="Arial"/>
                <w:sz w:val="19"/>
                <w:szCs w:val="19"/>
              </w:rPr>
            </w:pPr>
            <w:bookmarkStart w:id="7" w:name="_Hlk144474779"/>
            <w:r>
              <w:rPr>
                <w:rFonts w:eastAsia="Arial" w:cs="Arial" w:ascii="Arial" w:hAnsi="Arial"/>
                <w:sz w:val="19"/>
                <w:szCs w:val="19"/>
              </w:rPr>
              <w:t>Paired units shall not be restricted to thirty percent (30%) of the lineal footage defined in Section 155.068.  Single Family cul-de-sac lots shall be restricted to fifty percent (50%) of the lineal footage, instead of thirty (30%) defined in Section 155.068.</w:t>
            </w:r>
            <w:bookmarkEnd w:id="7"/>
          </w:p>
          <w:p>
            <w:pPr>
              <w:pStyle w:val="Normal"/>
              <w:widowControl w:val="false"/>
              <w:ind w:left="135" w:right="155" w:hanging="0"/>
              <w:rPr>
                <w:rFonts w:ascii="Arial" w:hAnsi="Arial" w:eastAsia="Arial" w:cs="Arial"/>
                <w:sz w:val="19"/>
                <w:szCs w:val="19"/>
              </w:rPr>
            </w:pPr>
            <w:r>
              <w:rPr>
                <w:rFonts w:eastAsia="Arial" w:cs="Arial" w:ascii="Arial" w:hAnsi="Arial"/>
                <w:sz w:val="19"/>
                <w:szCs w:val="19"/>
              </w:rPr>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r>
          </w:p>
        </w:tc>
      </w:tr>
      <w:tr>
        <w:trPr>
          <w:trHeight w:val="2755"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ind w:left="105" w:right="-20" w:hanging="0"/>
              <w:rPr>
                <w:rFonts w:ascii="Arial" w:hAnsi="Arial" w:eastAsia="Arial" w:cs="Arial"/>
                <w:sz w:val="19"/>
                <w:szCs w:val="19"/>
              </w:rPr>
            </w:pPr>
            <w:r>
              <w:rPr>
                <w:rFonts w:eastAsia="Arial" w:cs="Arial" w:ascii="Arial" w:hAnsi="Arial"/>
                <w:sz w:val="19"/>
                <w:szCs w:val="19"/>
              </w:rPr>
              <w:t>Streets and sidewalks</w:t>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r>
          </w:p>
        </w:tc>
        <w:tc>
          <w:tcPr>
            <w:tcW w:w="476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ind w:left="135" w:right="155" w:hanging="0"/>
              <w:rPr>
                <w:rFonts w:ascii="Arial" w:hAnsi="Arial" w:eastAsia="Arial" w:cs="Arial"/>
                <w:sz w:val="19"/>
                <w:szCs w:val="19"/>
              </w:rPr>
            </w:pPr>
            <w:r>
              <w:rPr>
                <w:rFonts w:eastAsia="Arial" w:cs="Arial" w:ascii="Arial" w:hAnsi="Arial"/>
                <w:sz w:val="19"/>
                <w:szCs w:val="19"/>
              </w:rPr>
              <w:t xml:space="preserve">Center Street will voluntarily be extended.  Sidewalks on Center Street will match existing four (4) feet wide sidewalks.  All other sidewalks will be five (5) feet wide.  Multiuse internal paths will be eight (8) feet wide and perimeter paths will be ten (10) feet wide, as indicated on Exhibit A.  Over five-thousand (5,000) linear feet of pathways are proposed for Parkrose.  Paths not within the right-of-way will be maintained by the HOA.  </w:t>
            </w:r>
            <w:bookmarkStart w:id="8" w:name="_Hlk144477382"/>
            <w:r>
              <w:rPr>
                <w:rFonts w:eastAsia="Arial" w:cs="Arial" w:ascii="Arial" w:hAnsi="Arial"/>
                <w:sz w:val="19"/>
                <w:szCs w:val="19"/>
              </w:rPr>
              <w:t>Petitioner will cooperate with City to connect a sidewalk to Center Street along Davis Road</w:t>
            </w:r>
            <w:bookmarkEnd w:id="8"/>
            <w:r>
              <w:rPr>
                <w:rFonts w:eastAsia="Arial" w:cs="Arial" w:ascii="Arial" w:hAnsi="Arial"/>
                <w:sz w:val="19"/>
                <w:szCs w:val="19"/>
              </w:rPr>
              <w:t xml:space="preserve"> in order to enhance pedestrian connectivity.</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r>
          </w:p>
        </w:tc>
      </w:tr>
      <w:tr>
        <w:trPr>
          <w:trHeight w:val="1162"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ind w:left="105" w:right="-20" w:hanging="0"/>
              <w:rPr>
                <w:rFonts w:ascii="Arial" w:hAnsi="Arial" w:eastAsia="Arial" w:cs="Arial"/>
                <w:sz w:val="19"/>
                <w:szCs w:val="19"/>
              </w:rPr>
            </w:pPr>
            <w:r>
              <w:rPr>
                <w:rFonts w:cs="Arial" w:ascii="Arial" w:hAnsi="Arial"/>
                <w:sz w:val="19"/>
                <w:szCs w:val="19"/>
              </w:rPr>
              <w:t xml:space="preserve">Exterior </w:t>
            </w:r>
            <w:r>
              <w:rPr>
                <w:rFonts w:eastAsia="Arial" w:cs="Arial" w:ascii="Arial" w:hAnsi="Arial"/>
                <w:sz w:val="19"/>
                <w:szCs w:val="19"/>
              </w:rPr>
              <w:t>Colors</w:t>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r>
          </w:p>
        </w:tc>
        <w:tc>
          <w:tcPr>
            <w:tcW w:w="47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5" w:right="155" w:hanging="0"/>
              <w:rPr>
                <w:rFonts w:ascii="Arial" w:hAnsi="Arial" w:eastAsia="Arial" w:cs="Arial"/>
                <w:sz w:val="19"/>
                <w:szCs w:val="19"/>
              </w:rPr>
            </w:pPr>
            <w:r>
              <w:rPr>
                <w:rFonts w:eastAsia="Arial" w:cs="Arial" w:ascii="Arial" w:hAnsi="Arial"/>
                <w:sz w:val="19"/>
                <w:szCs w:val="19"/>
              </w:rPr>
              <w:t>Bold and neutral color palettes shall be permitted on home exteriors.  A mixed palette on a single building should be carefully selected so that all colors are harmonious with each other.  Sample color packages are attached as Exhibit E.</w:t>
            </w:r>
          </w:p>
        </w:tc>
      </w:tr>
      <w:tr>
        <w:trPr>
          <w:trHeight w:val="2602"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cs="Arial"/>
                <w:sz w:val="19"/>
                <w:szCs w:val="19"/>
              </w:rPr>
            </w:pPr>
            <w:r>
              <w:rPr>
                <w:rFonts w:eastAsia="Arial" w:cs="Arial" w:ascii="Arial" w:hAnsi="Arial"/>
                <w:sz w:val="19"/>
                <w:szCs w:val="19"/>
              </w:rPr>
              <w:t>Exterior Materials</w:t>
            </w:r>
          </w:p>
        </w:tc>
        <w:tc>
          <w:tcPr>
            <w:tcW w:w="47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5" w:right="155" w:hanging="0"/>
              <w:rPr>
                <w:rFonts w:ascii="Arial" w:hAnsi="Arial" w:eastAsia="Arial" w:cs="Arial"/>
                <w:sz w:val="19"/>
                <w:szCs w:val="19"/>
              </w:rPr>
            </w:pPr>
            <w:r>
              <w:rPr>
                <w:rFonts w:eastAsia="Arial" w:cs="Arial" w:ascii="Arial" w:hAnsi="Arial"/>
                <w:sz w:val="19"/>
                <w:szCs w:val="19"/>
              </w:rPr>
              <w:t>Exterior cladding:  Permitted materials shall include the following:</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Brick veneer</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Stone/cultured stone or stone veneer</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Wood lap siding, composite siding and cedar shake siding (painted or stained)</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Stucco- per industry standards- light to medium textures</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Fiber cement lap or panel</w:t>
            </w:r>
          </w:p>
          <w:p>
            <w:pPr>
              <w:pStyle w:val="ListParagraph"/>
              <w:widowControl w:val="false"/>
              <w:numPr>
                <w:ilvl w:val="0"/>
                <w:numId w:val="2"/>
              </w:numPr>
              <w:ind w:left="675" w:right="180" w:hanging="315"/>
              <w:jc w:val="both"/>
              <w:rPr>
                <w:rFonts w:ascii="Arial" w:hAnsi="Arial" w:eastAsia="Arial" w:cs="Arial"/>
                <w:sz w:val="19"/>
                <w:szCs w:val="19"/>
              </w:rPr>
            </w:pPr>
            <w:r>
              <w:rPr>
                <w:rFonts w:eastAsia="Arial" w:cs="Arial" w:ascii="Arial" w:hAnsi="Arial"/>
                <w:sz w:val="19"/>
                <w:szCs w:val="19"/>
              </w:rPr>
              <w:t>Vinyl siding (minimum 0.44mm)</w:t>
            </w:r>
          </w:p>
        </w:tc>
      </w:tr>
      <w:tr>
        <w:trPr>
          <w:trHeight w:val="2287" w:hRule="exact"/>
        </w:trPr>
        <w:tc>
          <w:tcPr>
            <w:tcW w:w="43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20" w:before="3" w:after="0"/>
              <w:rPr>
                <w:rFonts w:ascii="Arial" w:hAnsi="Arial" w:cs="Arial"/>
                <w:sz w:val="19"/>
                <w:szCs w:val="19"/>
              </w:rPr>
            </w:pPr>
            <w:r>
              <w:rPr>
                <w:rFonts w:cs="Arial" w:ascii="Arial" w:hAnsi="Arial"/>
                <w:sz w:val="19"/>
                <w:szCs w:val="19"/>
              </w:rPr>
            </w:r>
          </w:p>
          <w:p>
            <w:pPr>
              <w:pStyle w:val="Normal"/>
              <w:widowControl w:val="false"/>
              <w:ind w:left="105" w:right="-20" w:hanging="0"/>
              <w:rPr>
                <w:rFonts w:ascii="Arial" w:hAnsi="Arial" w:eastAsia="Arial" w:cs="Arial"/>
                <w:sz w:val="19"/>
                <w:szCs w:val="19"/>
              </w:rPr>
            </w:pPr>
            <w:r>
              <w:rPr>
                <w:rFonts w:eastAsia="Arial" w:cs="Arial" w:ascii="Arial" w:hAnsi="Arial"/>
                <w:sz w:val="19"/>
                <w:szCs w:val="19"/>
              </w:rPr>
              <w:t>Entry Monumentation</w:t>
            </w:r>
          </w:p>
        </w:tc>
        <w:tc>
          <w:tcPr>
            <w:tcW w:w="47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5" w:right="155" w:hanging="0"/>
              <w:rPr>
                <w:rFonts w:ascii="Arial" w:hAnsi="Arial" w:eastAsia="Arial" w:cs="Arial"/>
                <w:sz w:val="19"/>
                <w:szCs w:val="19"/>
              </w:rPr>
            </w:pPr>
            <w:r>
              <w:rPr>
                <w:rFonts w:eastAsia="Arial" w:cs="Arial" w:ascii="Arial" w:hAnsi="Arial"/>
                <w:sz w:val="19"/>
                <w:szCs w:val="19"/>
              </w:rPr>
              <w:t xml:space="preserve">An entry monument will be located on West Davis Road. </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t>Maximum sign area - thirty-two (32) square feet.</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t xml:space="preserve">Maximum signs per frontage- one (1) sign per frontage. </w:t>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t xml:space="preserve">Maximum sign height- Monument:  Eight (8) feet in sign height on a thirty-six (36) inch or shorter base.  </w:t>
            </w:r>
          </w:p>
          <w:p>
            <w:pPr>
              <w:pStyle w:val="Normal"/>
              <w:widowControl w:val="false"/>
              <w:ind w:right="180" w:hanging="0"/>
              <w:jc w:val="both"/>
              <w:rPr>
                <w:rFonts w:ascii="Arial" w:hAnsi="Arial" w:eastAsia="Arial" w:cs="Arial"/>
                <w:sz w:val="19"/>
                <w:szCs w:val="19"/>
              </w:rPr>
            </w:pPr>
            <w:r>
              <w:rPr>
                <w:rFonts w:eastAsia="Arial" w:cs="Arial" w:ascii="Arial" w:hAnsi="Arial"/>
                <w:sz w:val="19"/>
                <w:szCs w:val="19"/>
              </w:rPr>
            </w:r>
          </w:p>
          <w:p>
            <w:pPr>
              <w:pStyle w:val="Normal"/>
              <w:widowControl w:val="false"/>
              <w:ind w:left="135" w:right="155" w:hanging="0"/>
              <w:rPr>
                <w:rFonts w:ascii="Arial" w:hAnsi="Arial" w:eastAsia="Arial" w:cs="Arial"/>
                <w:sz w:val="19"/>
                <w:szCs w:val="19"/>
              </w:rPr>
            </w:pPr>
            <w:r>
              <w:rPr>
                <w:rFonts w:eastAsia="Arial" w:cs="Arial" w:ascii="Arial" w:hAnsi="Arial"/>
                <w:sz w:val="19"/>
                <w:szCs w:val="19"/>
              </w:rPr>
              <w:t>An example sign is included as an Exhibit B to this document.</w:t>
            </w:r>
          </w:p>
        </w:tc>
      </w:tr>
    </w:tbl>
    <w:p>
      <w:pPr>
        <w:pStyle w:val="Normal"/>
        <w:spacing w:lineRule="auto" w:line="252"/>
        <w:ind w:left="592" w:right="228" w:hanging="0"/>
        <w:jc w:val="center"/>
        <w:rPr>
          <w:rFonts w:ascii="Arial" w:hAnsi="Arial" w:eastAsia="Arial" w:cs="Arial"/>
          <w:i/>
          <w:i/>
          <w:iCs/>
          <w:sz w:val="20"/>
          <w:szCs w:val="20"/>
        </w:rPr>
      </w:pPr>
      <w:r>
        <w:rPr>
          <w:rFonts w:eastAsia="Arial" w:cs="Arial" w:ascii="Arial" w:hAnsi="Arial"/>
          <w:i/>
          <w:iCs/>
          <w:sz w:val="20"/>
          <w:szCs w:val="20"/>
        </w:rPr>
      </w:r>
    </w:p>
    <w:p>
      <w:pPr>
        <w:pStyle w:val="Normal"/>
        <w:spacing w:lineRule="auto" w:line="252"/>
        <w:ind w:left="592" w:right="228" w:hanging="0"/>
        <w:jc w:val="center"/>
        <w:rPr>
          <w:rFonts w:ascii="Arial" w:hAnsi="Arial" w:eastAsia="Arial" w:cs="Arial"/>
          <w:i/>
          <w:i/>
          <w:iCs/>
          <w:sz w:val="20"/>
          <w:szCs w:val="20"/>
        </w:rPr>
      </w:pPr>
      <w:r>
        <w:rPr>
          <w:rFonts w:eastAsia="Arial" w:cs="Arial" w:ascii="Arial" w:hAnsi="Arial"/>
          <w:i/>
          <w:iCs/>
          <w:sz w:val="20"/>
          <w:szCs w:val="20"/>
        </w:rPr>
      </w:r>
    </w:p>
    <w:p>
      <w:pPr>
        <w:pStyle w:val="Normal"/>
        <w:spacing w:lineRule="auto" w:line="252"/>
        <w:ind w:left="592" w:right="228" w:hanging="0"/>
        <w:jc w:val="center"/>
        <w:rPr>
          <w:rFonts w:ascii="Arial" w:hAnsi="Arial" w:cs="Arial"/>
          <w:color w:val="FF0000"/>
        </w:rPr>
      </w:pPr>
      <w:r>
        <w:rPr>
          <w:rFonts w:eastAsia="Arial" w:cs="Arial" w:ascii="Arial" w:hAnsi="Arial"/>
          <w:i/>
          <w:iCs/>
          <w:sz w:val="20"/>
          <w:szCs w:val="20"/>
        </w:rPr>
        <w:t>(remainder of page intentionally left blank)</w:t>
      </w:r>
    </w:p>
    <w:p>
      <w:pPr>
        <w:pStyle w:val="Normal"/>
        <w:jc w:val="center"/>
        <w:rPr>
          <w:rFonts w:ascii="Arial" w:hAnsi="Arial" w:cs="Arial"/>
        </w:rPr>
      </w:pPr>
      <w:r>
        <w:rPr>
          <w:rFonts w:cs="Arial" w:ascii="Arial" w:hAnsi="Arial"/>
        </w:rPr>
      </w:r>
    </w:p>
    <w:p>
      <w:pPr>
        <w:pStyle w:val="NoSpacing"/>
        <w:rPr>
          <w:rFonts w:ascii="Arial" w:hAnsi="Arial" w:eastAsia="Times New Roman" w:cs="Arial"/>
          <w:sz w:val="24"/>
          <w:szCs w:val="24"/>
        </w:rPr>
      </w:pPr>
      <w:r>
        <w:rPr>
          <w:rFonts w:eastAsia="Times New Roman" w:cs="Arial" w:ascii="Arial" w:hAnsi="Arial"/>
          <w:sz w:val="24"/>
          <w:szCs w:val="24"/>
        </w:rPr>
      </w:r>
    </w:p>
    <w:p>
      <w:pPr>
        <w:pStyle w:val="Normal"/>
        <w:rPr>
          <w:rFonts w:ascii="Arial" w:hAnsi="Arial" w:eastAsia="Arial" w:cs="Arial"/>
          <w:b/>
          <w:b/>
          <w:w w:val="89"/>
          <w:u w:val="single" w:color="000000"/>
        </w:rPr>
      </w:pPr>
      <w:r>
        <w:rPr>
          <w:rFonts w:eastAsia="Arial" w:cs="Arial" w:ascii="Arial" w:hAnsi="Arial"/>
          <w:b/>
          <w:w w:val="89"/>
          <w:u w:val="single" w:color="000000"/>
        </w:rPr>
      </w:r>
      <w:r>
        <w:br w:type="page"/>
      </w:r>
    </w:p>
    <w:p>
      <w:pPr>
        <w:pStyle w:val="Normal"/>
        <w:ind w:right="-20" w:hanging="0"/>
        <w:jc w:val="center"/>
        <w:rPr>
          <w:rFonts w:ascii="Arial" w:hAnsi="Arial" w:eastAsia="Arial" w:cs="Arial"/>
          <w:b/>
          <w:b/>
        </w:rPr>
      </w:pPr>
      <w:r>
        <w:rPr>
          <w:rFonts w:eastAsia="Arial" w:cs="Arial" w:ascii="Arial" w:hAnsi="Arial"/>
          <w:b/>
          <w:w w:val="89"/>
          <w:u w:val="single" w:color="000000"/>
        </w:rPr>
        <w:t>TABLE</w:t>
      </w:r>
      <w:r>
        <w:rPr>
          <w:rFonts w:eastAsia="Arial" w:cs="Arial" w:ascii="Arial" w:hAnsi="Arial"/>
          <w:b/>
          <w:spacing w:val="7"/>
          <w:w w:val="89"/>
          <w:u w:val="single" w:color="000000"/>
        </w:rPr>
        <w:t xml:space="preserve"> 4</w:t>
      </w:r>
      <w:r>
        <w:rPr>
          <w:rFonts w:eastAsia="Arial" w:cs="Arial" w:ascii="Arial" w:hAnsi="Arial"/>
          <w:b/>
          <w:u w:val="single" w:color="000000"/>
        </w:rPr>
        <w:t xml:space="preserve">. </w:t>
      </w:r>
      <w:r>
        <w:rPr>
          <w:rFonts w:eastAsia="Arial" w:cs="Arial" w:ascii="Arial" w:hAnsi="Arial"/>
          <w:b/>
          <w:caps/>
          <w:w w:val="91"/>
          <w:u w:val="single" w:color="000000"/>
        </w:rPr>
        <w:t>Architectural</w:t>
      </w:r>
      <w:r>
        <w:rPr>
          <w:rFonts w:eastAsia="Arial" w:cs="Arial" w:ascii="Arial" w:hAnsi="Arial"/>
          <w:b/>
          <w:w w:val="91"/>
          <w:u w:val="single" w:color="000000"/>
        </w:rPr>
        <w:t xml:space="preserve"> STANDARDS</w:t>
      </w:r>
    </w:p>
    <w:p>
      <w:pPr>
        <w:pStyle w:val="NoSpacing"/>
        <w:rPr>
          <w:rFonts w:ascii="Arial" w:hAnsi="Arial" w:eastAsia="Times New Roman" w:cs="Arial"/>
          <w:sz w:val="24"/>
          <w:szCs w:val="24"/>
        </w:rPr>
      </w:pPr>
      <w:r>
        <w:rPr>
          <w:rFonts w:eastAsia="Times New Roman" w:cs="Arial" w:ascii="Arial" w:hAnsi="Arial"/>
          <w:sz w:val="24"/>
          <w:szCs w:val="24"/>
        </w:rPr>
      </w:r>
    </w:p>
    <w:p>
      <w:pPr>
        <w:pStyle w:val="NoSpacing"/>
        <w:rPr>
          <w:rFonts w:ascii="Arial" w:hAnsi="Arial" w:eastAsia="Times New Roman" w:cs="Arial"/>
          <w:sz w:val="24"/>
          <w:szCs w:val="24"/>
        </w:rPr>
      </w:pPr>
      <w:bookmarkStart w:id="9" w:name="_Hlk144382826"/>
      <w:r>
        <w:rPr>
          <w:rFonts w:eastAsia="Times New Roman" w:cs="Arial" w:ascii="Arial" w:hAnsi="Arial"/>
          <w:sz w:val="24"/>
          <w:szCs w:val="24"/>
        </w:rPr>
        <w:t>All Standards in Section 155.101 of the Zoning Ordinance; DESIGN STANDARDS FOR SINGLE-UNIT/ MULTI-UNIT DWELLINGS shall be met with the following exceptions; however, Fischer Homes reserves the right to file for modifications with Planning Commission from Design Standards, per Section 155.105:</w:t>
      </w:r>
    </w:p>
    <w:p>
      <w:pPr>
        <w:pStyle w:val="NoSpacing"/>
        <w:rPr>
          <w:rFonts w:ascii="Arial" w:hAnsi="Arial" w:eastAsia="Times New Roman" w:cs="Arial"/>
          <w:sz w:val="24"/>
          <w:szCs w:val="24"/>
        </w:rPr>
      </w:pPr>
      <w:r>
        <w:rPr>
          <w:rFonts w:eastAsia="Times New Roman" w:cs="Arial" w:ascii="Arial" w:hAnsi="Arial"/>
          <w:sz w:val="24"/>
          <w:szCs w:val="24"/>
        </w:rPr>
      </w:r>
    </w:p>
    <w:tbl>
      <w:tblPr>
        <w:tblStyle w:val="TableGrid"/>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6"/>
        <w:gridCol w:w="3117"/>
        <w:gridCol w:w="3117"/>
      </w:tblGrid>
      <w:tr>
        <w:trPr/>
        <w:tc>
          <w:tcPr>
            <w:tcW w:w="3116" w:type="dxa"/>
            <w:tcBorders/>
          </w:tcPr>
          <w:p>
            <w:pPr>
              <w:pStyle w:val="NoSpacing"/>
              <w:widowControl w:val="false"/>
              <w:spacing w:before="0" w:after="0"/>
              <w:jc w:val="left"/>
              <w:rPr>
                <w:rFonts w:ascii="Arial" w:hAnsi="Arial" w:eastAsia="Times New Roman" w:cs="Arial"/>
                <w:b/>
                <w:b/>
                <w:bCs/>
                <w:sz w:val="24"/>
                <w:szCs w:val="24"/>
              </w:rPr>
            </w:pPr>
            <w:r>
              <w:rPr>
                <w:rFonts w:eastAsia="Times New Roman" w:cs="Arial" w:ascii="Arial" w:hAnsi="Arial"/>
                <w:b/>
                <w:bCs/>
                <w:kern w:val="0"/>
                <w:sz w:val="24"/>
                <w:szCs w:val="24"/>
                <w:lang w:val="en-US" w:eastAsia="en-US" w:bidi="ar-SA"/>
              </w:rPr>
              <w:t>Ordinance Standard to be Modified</w:t>
            </w:r>
          </w:p>
        </w:tc>
        <w:tc>
          <w:tcPr>
            <w:tcW w:w="3117" w:type="dxa"/>
            <w:tcBorders/>
          </w:tcPr>
          <w:p>
            <w:pPr>
              <w:pStyle w:val="NoSpacing"/>
              <w:widowControl w:val="false"/>
              <w:spacing w:before="0" w:after="0"/>
              <w:jc w:val="left"/>
              <w:rPr>
                <w:rFonts w:ascii="Arial" w:hAnsi="Arial" w:eastAsia="Times New Roman" w:cs="Arial"/>
                <w:b/>
                <w:b/>
                <w:bCs/>
                <w:sz w:val="24"/>
                <w:szCs w:val="24"/>
              </w:rPr>
            </w:pPr>
            <w:r>
              <w:rPr>
                <w:rFonts w:eastAsia="Times New Roman" w:cs="Arial" w:ascii="Arial" w:hAnsi="Arial"/>
                <w:b/>
                <w:bCs/>
                <w:kern w:val="0"/>
                <w:sz w:val="24"/>
                <w:szCs w:val="24"/>
                <w:lang w:val="en-US" w:eastAsia="en-US" w:bidi="ar-SA"/>
              </w:rPr>
              <w:t>Maple Street Homes (“MSH”)</w:t>
            </w:r>
          </w:p>
        </w:tc>
        <w:tc>
          <w:tcPr>
            <w:tcW w:w="3117" w:type="dxa"/>
            <w:tcBorders/>
          </w:tcPr>
          <w:p>
            <w:pPr>
              <w:pStyle w:val="NoSpacing"/>
              <w:widowControl w:val="false"/>
              <w:spacing w:before="0" w:after="0"/>
              <w:jc w:val="left"/>
              <w:rPr>
                <w:rFonts w:ascii="Arial" w:hAnsi="Arial" w:eastAsia="Times New Roman" w:cs="Arial"/>
                <w:b/>
                <w:b/>
                <w:bCs/>
                <w:sz w:val="24"/>
                <w:szCs w:val="24"/>
              </w:rPr>
            </w:pPr>
            <w:r>
              <w:rPr>
                <w:rFonts w:eastAsia="Times New Roman" w:cs="Arial" w:ascii="Arial" w:hAnsi="Arial"/>
                <w:b/>
                <w:bCs/>
                <w:kern w:val="0"/>
                <w:sz w:val="24"/>
                <w:szCs w:val="24"/>
                <w:lang w:val="en-US" w:eastAsia="en-US" w:bidi="ar-SA"/>
              </w:rPr>
              <w:t>Paired Patio Homes</w:t>
            </w:r>
          </w:p>
          <w:p>
            <w:pPr>
              <w:pStyle w:val="NoSpacing"/>
              <w:widowControl w:val="false"/>
              <w:spacing w:before="0" w:after="0"/>
              <w:jc w:val="left"/>
              <w:rPr>
                <w:rFonts w:ascii="Arial" w:hAnsi="Arial" w:eastAsia="Times New Roman" w:cs="Arial"/>
                <w:b/>
                <w:b/>
                <w:bCs/>
                <w:sz w:val="24"/>
                <w:szCs w:val="24"/>
              </w:rPr>
            </w:pPr>
            <w:r>
              <w:rPr>
                <w:rFonts w:eastAsia="Times New Roman" w:cs="Arial" w:ascii="Arial" w:hAnsi="Arial"/>
                <w:b/>
                <w:bCs/>
                <w:kern w:val="0"/>
                <w:sz w:val="24"/>
                <w:szCs w:val="24"/>
                <w:lang w:val="en-US" w:eastAsia="en-US" w:bidi="ar-SA"/>
              </w:rPr>
              <w:t>(“Paired”)</w:t>
            </w:r>
          </w:p>
        </w:tc>
      </w:tr>
      <w:tr>
        <w:trPr/>
        <w:tc>
          <w:tcPr>
            <w:tcW w:w="3116" w:type="dxa"/>
            <w:vMerge w:val="restart"/>
            <w:tcBorders/>
          </w:tcPr>
          <w:p>
            <w:pPr>
              <w:pStyle w:val="NoSpacing"/>
              <w:widowControl w:val="false"/>
              <w:spacing w:before="0" w:after="0"/>
              <w:jc w:val="left"/>
              <w:rPr>
                <w:rFonts w:ascii="Arial" w:hAnsi="Arial" w:cs="Arial"/>
                <w:b/>
                <w:b/>
                <w:bCs/>
              </w:rPr>
            </w:pPr>
            <w:bookmarkStart w:id="10" w:name="_Hlk140847108"/>
            <w:r>
              <w:rPr>
                <w:rFonts w:cs="Arial" w:ascii="Arial" w:hAnsi="Arial"/>
                <w:b/>
                <w:bCs/>
                <w:kern w:val="0"/>
                <w:lang w:val="en-US" w:eastAsia="en-US" w:bidi="ar-SA"/>
              </w:rPr>
              <w:t>§</w:t>
            </w:r>
            <w:bookmarkEnd w:id="10"/>
            <w:r>
              <w:rPr>
                <w:rFonts w:cs="Arial" w:ascii="Arial" w:hAnsi="Arial"/>
                <w:b/>
                <w:bCs/>
                <w:kern w:val="0"/>
                <w:lang w:val="en-US" w:eastAsia="en-US" w:bidi="ar-SA"/>
              </w:rPr>
              <w:t>155.101 2(B) - Home Mix Guidelines</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restart"/>
            <w:tcBorders/>
          </w:tcPr>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t xml:space="preserve">MSH homes shall meet this standard.  </w:t>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r>
          </w:p>
          <w:p>
            <w:pPr>
              <w:pStyle w:val="NoSpacing"/>
              <w:widowControl w:val="false"/>
              <w:spacing w:before="0" w:after="0"/>
              <w:jc w:val="left"/>
              <w:rPr>
                <w:rFonts w:ascii="Arial" w:hAnsi="Arial" w:eastAsia="Times New Roman" w:cs="Arial"/>
              </w:rPr>
            </w:pPr>
            <w:r>
              <w:rPr>
                <w:rFonts w:eastAsia="Times New Roman" w:cs="Arial" w:ascii="Arial" w:hAnsi="Arial"/>
                <w:i/>
                <w:iCs/>
                <w:kern w:val="0"/>
                <w:sz w:val="24"/>
                <w:szCs w:val="24"/>
                <w:lang w:val="en-US" w:eastAsia="en-US" w:bidi="ar-SA"/>
              </w:rPr>
              <w:t>(Intentionally left blank)</w:t>
            </w:r>
          </w:p>
        </w:tc>
        <w:tc>
          <w:tcPr>
            <w:tcW w:w="3117" w:type="dxa"/>
            <w:tcBorders/>
          </w:tcPr>
          <w:p>
            <w:pPr>
              <w:pStyle w:val="NoSpacing"/>
              <w:widowControl w:val="false"/>
              <w:spacing w:before="0" w:after="0"/>
              <w:jc w:val="left"/>
              <w:rPr>
                <w:rFonts w:ascii="Arial" w:hAnsi="Arial" w:cs="Arial"/>
              </w:rPr>
            </w:pPr>
            <w:r>
              <w:rPr>
                <w:rFonts w:cs="Arial" w:ascii="Arial" w:hAnsi="Arial"/>
                <w:kern w:val="0"/>
                <w:lang w:val="en-US" w:eastAsia="en-US" w:bidi="ar-SA"/>
              </w:rPr>
              <w:t xml:space="preserve">No duplication of the same elevation within one (1) building on the same side of the street.  </w:t>
            </w:r>
          </w:p>
          <w:p>
            <w:pPr>
              <w:pStyle w:val="NoSpacing"/>
              <w:widowControl w:val="false"/>
              <w:spacing w:before="0" w:after="0"/>
              <w:jc w:val="left"/>
              <w:rPr>
                <w:rFonts w:ascii="Arial" w:hAnsi="Arial" w:cs="Arial"/>
              </w:rPr>
            </w:pPr>
            <w:r>
              <w:rPr>
                <w:rFonts w:cs="Arial" w:ascii="Arial" w:hAnsi="Arial"/>
                <w:kern w:val="0"/>
                <w:lang w:val="en-US" w:eastAsia="en-US" w:bidi="ar-SA"/>
              </w:rPr>
            </w:r>
          </w:p>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 xml:space="preserve">No duplication of the same color package within one (1) building on the same side of the street or lot directly across the street. </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eastAsia="Times New Roman" w:cs="Arial" w:ascii="Arial" w:hAnsi="Arial"/>
                <w:kern w:val="0"/>
                <w:sz w:val="24"/>
                <w:szCs w:val="24"/>
                <w:lang w:val="en-US" w:eastAsia="en-US" w:bidi="ar-SA"/>
              </w:rPr>
              <w:t xml:space="preserve">  T</w:t>
            </w:r>
            <w:r>
              <w:rPr>
                <w:rFonts w:cs="Arial" w:ascii="Arial" w:hAnsi="Arial"/>
                <w:kern w:val="0"/>
                <w:lang w:val="en-US" w:eastAsia="en-US" w:bidi="ar-SA"/>
              </w:rPr>
              <w:t xml:space="preserve">he loft option for the Wembley is often selected, which provides diversity in the streetscape.  </w:t>
            </w:r>
          </w:p>
        </w:tc>
      </w:tr>
      <w:tr>
        <w:trPr/>
        <w:tc>
          <w:tcPr>
            <w:tcW w:w="3116" w:type="dxa"/>
            <w:vMerge w:val="restart"/>
            <w:tcBorders/>
          </w:tcPr>
          <w:p>
            <w:pPr>
              <w:pStyle w:val="NoSpacing"/>
              <w:widowControl w:val="false"/>
              <w:spacing w:before="0" w:after="0"/>
              <w:jc w:val="left"/>
              <w:rPr>
                <w:rFonts w:ascii="Arial" w:hAnsi="Arial" w:cs="Arial"/>
                <w:b/>
                <w:b/>
                <w:bCs/>
              </w:rPr>
            </w:pPr>
            <w:r>
              <w:rPr>
                <w:rFonts w:cs="Arial" w:ascii="Arial" w:hAnsi="Arial"/>
                <w:b/>
                <w:bCs/>
                <w:kern w:val="0"/>
                <w:lang w:val="en-US" w:eastAsia="en-US" w:bidi="ar-SA"/>
              </w:rPr>
              <w:t>§155.101 2(D) – Minimum of one (1) window per story</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restart"/>
            <w:tcBorders/>
          </w:tcPr>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t xml:space="preserve">MSH homes shall meet this standard.  </w:t>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(Intentionally left blank)</w:t>
            </w:r>
          </w:p>
        </w:tc>
        <w:tc>
          <w:tcPr>
            <w:tcW w:w="3117" w:type="dxa"/>
            <w:tcBorders/>
          </w:tcPr>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 xml:space="preserve">In total, three (3) seven (7) square foot windows per side elevation.  </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eastAsia="Times New Roman" w:cs="Arial" w:ascii="Arial" w:hAnsi="Arial"/>
                <w:kern w:val="0"/>
                <w:sz w:val="24"/>
                <w:szCs w:val="24"/>
                <w:lang w:val="en-US" w:eastAsia="en-US" w:bidi="ar-SA"/>
              </w:rPr>
              <w:t xml:space="preserve">  </w:t>
            </w:r>
            <w:r>
              <w:rPr>
                <w:rFonts w:cs="Arial" w:ascii="Arial" w:hAnsi="Arial"/>
                <w:kern w:val="0"/>
                <w:lang w:val="en-US" w:eastAsia="en-US" w:bidi="ar-SA"/>
              </w:rPr>
              <w:t xml:space="preserve">The intent of the code is met; three windows offer additional detail to the side of the building.  </w:t>
            </w:r>
          </w:p>
        </w:tc>
      </w:tr>
      <w:tr>
        <w:trPr/>
        <w:tc>
          <w:tcPr>
            <w:tcW w:w="3116" w:type="dxa"/>
            <w:vMerge w:val="restart"/>
            <w:tcBorders/>
          </w:tcPr>
          <w:p>
            <w:pPr>
              <w:pStyle w:val="NoSpacing"/>
              <w:widowControl w:val="false"/>
              <w:spacing w:before="0" w:after="0"/>
              <w:jc w:val="left"/>
              <w:rPr>
                <w:rFonts w:ascii="Arial" w:hAnsi="Arial" w:cs="Arial"/>
              </w:rPr>
            </w:pPr>
            <w:r>
              <w:rPr>
                <w:rFonts w:cs="Arial" w:ascii="Arial" w:hAnsi="Arial"/>
                <w:b/>
                <w:bCs/>
                <w:kern w:val="0"/>
                <w:lang w:val="en-US" w:eastAsia="en-US" w:bidi="ar-SA"/>
              </w:rPr>
              <w:t>§155.101 3(A) – Roof pitch</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highlight w:val="yellow"/>
              </w:rPr>
            </w:pPr>
            <w:r>
              <w:rPr>
                <w:rFonts w:cs="Arial" w:ascii="Arial" w:hAnsi="Arial"/>
                <w:kern w:val="0"/>
                <w:lang w:val="en-US" w:eastAsia="en-US" w:bidi="ar-SA"/>
              </w:rPr>
              <w:t xml:space="preserve">Exterior designs will meet the requirement for 5:12 roof pitch with at least one reverse gable. </w:t>
            </w:r>
          </w:p>
        </w:tc>
        <w:tc>
          <w:tcPr>
            <w:tcW w:w="3117" w:type="dxa"/>
            <w:tcBorders/>
          </w:tcPr>
          <w:p>
            <w:pPr>
              <w:pStyle w:val="NoSpacing"/>
              <w:widowControl w:val="false"/>
              <w:spacing w:before="0" w:after="0"/>
              <w:jc w:val="left"/>
              <w:rPr>
                <w:rFonts w:ascii="Arial" w:hAnsi="Arial" w:cs="Arial"/>
                <w:highlight w:val="yellow"/>
              </w:rPr>
            </w:pPr>
            <w:r>
              <w:rPr>
                <w:rFonts w:cs="Arial" w:ascii="Arial" w:hAnsi="Arial"/>
                <w:kern w:val="0"/>
                <w:lang w:val="en-US" w:eastAsia="en-US" w:bidi="ar-SA"/>
              </w:rPr>
              <w:t>Minimum 5:12 roof pitch when two (2) reverse gables on units with lofts.</w:t>
            </w:r>
          </w:p>
          <w:p>
            <w:pPr>
              <w:pStyle w:val="NoSpacing"/>
              <w:widowControl w:val="false"/>
              <w:spacing w:before="0" w:after="0"/>
              <w:jc w:val="left"/>
              <w:rPr>
                <w:rFonts w:ascii="Arial" w:hAnsi="Arial" w:cs="Arial"/>
                <w:highlight w:val="yellow"/>
              </w:rPr>
            </w:pPr>
            <w:r>
              <w:rPr>
                <w:rFonts w:cs="Arial" w:ascii="Arial" w:hAnsi="Arial"/>
                <w:kern w:val="0"/>
                <w:highlight w:val="yellow"/>
                <w:lang w:val="en-US" w:eastAsia="en-US" w:bidi="ar-SA"/>
              </w:rPr>
            </w:r>
          </w:p>
          <w:p>
            <w:pPr>
              <w:pStyle w:val="NoSpacing"/>
              <w:widowControl w:val="false"/>
              <w:spacing w:before="0" w:after="0"/>
              <w:jc w:val="left"/>
              <w:rPr>
                <w:rFonts w:ascii="Arial" w:hAnsi="Arial" w:cs="Arial"/>
                <w:highlight w:val="yellow"/>
              </w:rPr>
            </w:pPr>
            <w:r>
              <w:rPr>
                <w:rFonts w:cs="Arial" w:ascii="Arial" w:hAnsi="Arial"/>
                <w:kern w:val="0"/>
                <w:lang w:val="en-US" w:eastAsia="en-US" w:bidi="ar-SA"/>
              </w:rPr>
              <w:t>Minimum 4:12 roof pitch on units without lofts.</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cs="Arial" w:ascii="Arial" w:hAnsi="Arial"/>
                <w:kern w:val="0"/>
                <w:lang w:val="en-US" w:eastAsia="en-US" w:bidi="ar-SA"/>
              </w:rPr>
              <w:t>:  Fischer Homes will provide a variety of roof pitches and architecture for a more interesting streetscape.</w:t>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cs="Arial" w:ascii="Arial" w:hAnsi="Arial"/>
                <w:kern w:val="0"/>
                <w:lang w:val="en-US" w:eastAsia="en-US" w:bidi="ar-SA"/>
              </w:rPr>
              <w:t>:  Fischer Homes will provide an enhanced streetscape with a variation of roof pitches.  We will include 2 reverse gables in lieu of the one required.  This combination will diminish the visual impact of the front main roof as well as enhance the exterior.   Consumers in the Greater Indianapolis market show a strong preference for units with lofts.</w:t>
            </w:r>
          </w:p>
        </w:tc>
      </w:tr>
      <w:tr>
        <w:trPr/>
        <w:tc>
          <w:tcPr>
            <w:tcW w:w="3116" w:type="dxa"/>
            <w:vMerge w:val="restart"/>
            <w:tcBorders/>
          </w:tcPr>
          <w:p>
            <w:pPr>
              <w:pStyle w:val="NoSpacing"/>
              <w:widowControl w:val="false"/>
              <w:spacing w:before="0" w:after="0"/>
              <w:jc w:val="left"/>
              <w:rPr>
                <w:rFonts w:ascii="Arial" w:hAnsi="Arial" w:cs="Arial"/>
              </w:rPr>
            </w:pPr>
            <w:r>
              <w:rPr>
                <w:rFonts w:cs="Arial" w:ascii="Arial" w:hAnsi="Arial"/>
                <w:b/>
                <w:bCs/>
                <w:kern w:val="0"/>
                <w:lang w:val="en-US" w:eastAsia="en-US" w:bidi="ar-SA"/>
              </w:rPr>
              <w:t>§155.101 3(B) – Minimum nine (9) inch overhangs.  Minimum eight (8) inch overhangs at brick wall.</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cs="Arial"/>
              </w:rPr>
            </w:pPr>
            <w:r>
              <w:rPr>
                <w:rFonts w:cs="Arial" w:ascii="Arial" w:hAnsi="Arial"/>
                <w:kern w:val="0"/>
                <w:lang w:val="en-US" w:eastAsia="en-US" w:bidi="ar-SA"/>
              </w:rPr>
              <w:t xml:space="preserve">Porches only to have minimum eight (8) inch overhang.   All other parts of the building shall comply.  </w:t>
            </w:r>
          </w:p>
        </w:tc>
        <w:tc>
          <w:tcPr>
            <w:tcW w:w="3117" w:type="dxa"/>
            <w:tcBorders/>
          </w:tcPr>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 xml:space="preserve">Porches only have minimum six (6) inch overhang.   All other parts of building shall comply.  </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6234" w:type="dxa"/>
            <w:gridSpan w:val="2"/>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cs="Arial" w:ascii="Arial" w:hAnsi="Arial"/>
                <w:kern w:val="0"/>
                <w:lang w:val="en-US" w:eastAsia="en-US" w:bidi="ar-SA"/>
              </w:rPr>
              <w:t>:  This request is only for porches; the rest of the home will be compliant.</w:t>
            </w:r>
          </w:p>
        </w:tc>
      </w:tr>
      <w:tr>
        <w:trPr/>
        <w:tc>
          <w:tcPr>
            <w:tcW w:w="3116" w:type="dxa"/>
            <w:vMerge w:val="restart"/>
            <w:tcBorders/>
          </w:tcPr>
          <w:p>
            <w:pPr>
              <w:pStyle w:val="NoSpacing"/>
              <w:widowControl w:val="false"/>
              <w:spacing w:before="0" w:after="0"/>
              <w:jc w:val="left"/>
              <w:rPr>
                <w:rFonts w:ascii="Arial" w:hAnsi="Arial" w:cs="Arial"/>
              </w:rPr>
            </w:pPr>
            <w:r>
              <w:rPr>
                <w:rFonts w:cs="Arial" w:ascii="Arial" w:hAnsi="Arial"/>
                <w:b/>
                <w:bCs/>
                <w:kern w:val="0"/>
                <w:lang w:val="en-US" w:eastAsia="en-US" w:bidi="ar-SA"/>
              </w:rPr>
              <w:t>§155.101 5(A) – Garage Façade and Projection</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restart"/>
            <w:tcBorders/>
          </w:tcPr>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t xml:space="preserve">MSH homes shall meet this standard.  </w:t>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t>(Intentionally left blank)</w:t>
            </w:r>
          </w:p>
        </w:tc>
        <w:tc>
          <w:tcPr>
            <w:tcW w:w="3117" w:type="dxa"/>
            <w:tcBorders/>
          </w:tcPr>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On up to 75% of Paired buildings, garage door openings may be up to 58% of the width of the front façade.</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 xml:space="preserve">Garage projects twenty-two feet, three and one-half inches (22’ 3 ½”) from the front façade and seventeen feet nine and one half inch (17’ 9 ½“) from the front porch of the building.  </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cs="Arial" w:ascii="Arial" w:hAnsi="Arial"/>
                <w:kern w:val="0"/>
                <w:lang w:val="en-US" w:eastAsia="en-US" w:bidi="ar-SA"/>
              </w:rPr>
              <w:t xml:space="preserve">: Fischer Homes requests approval of our designs as presented in the attachment.   Our designs offer multiple styles and a number of front veneer choices.  </w:t>
            </w:r>
          </w:p>
        </w:tc>
      </w:tr>
      <w:tr>
        <w:trPr/>
        <w:tc>
          <w:tcPr>
            <w:tcW w:w="3116" w:type="dxa"/>
            <w:vMerge w:val="restart"/>
            <w:tcBorders/>
          </w:tcPr>
          <w:p>
            <w:pPr>
              <w:pStyle w:val="NoSpacing"/>
              <w:widowControl w:val="false"/>
              <w:spacing w:before="0" w:after="0"/>
              <w:jc w:val="left"/>
              <w:rPr>
                <w:rFonts w:ascii="Arial" w:hAnsi="Arial" w:cs="Arial"/>
              </w:rPr>
            </w:pPr>
            <w:r>
              <w:rPr>
                <w:rFonts w:cs="Arial" w:ascii="Arial" w:hAnsi="Arial"/>
                <w:b/>
                <w:bCs/>
                <w:kern w:val="0"/>
                <w:lang w:val="en-US" w:eastAsia="en-US" w:bidi="ar-SA"/>
              </w:rPr>
              <w:t>§155.101 5(E) – Garages</w:t>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restart"/>
            <w:tcBorders/>
          </w:tcPr>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t xml:space="preserve">MSH homes shall meet this standard.  </w:t>
            </w:r>
          </w:p>
          <w:p>
            <w:pPr>
              <w:pStyle w:val="NoSpacing"/>
              <w:widowControl w:val="false"/>
              <w:spacing w:before="0" w:after="0"/>
              <w:jc w:val="left"/>
              <w:rPr>
                <w:rFonts w:ascii="Arial" w:hAnsi="Arial" w:eastAsia="Times New Roman" w:cs="Arial"/>
                <w:i/>
                <w:i/>
                <w:iCs/>
                <w:sz w:val="24"/>
                <w:szCs w:val="24"/>
              </w:rPr>
            </w:pPr>
            <w:r>
              <w:rPr>
                <w:rFonts w:eastAsia="Times New Roman" w:cs="Arial" w:ascii="Arial" w:hAnsi="Arial"/>
                <w:i/>
                <w:iCs/>
                <w:kern w:val="0"/>
                <w:sz w:val="24"/>
                <w:szCs w:val="24"/>
                <w:lang w:val="en-US" w:eastAsia="en-US" w:bidi="ar-SA"/>
              </w:rPr>
            </w:r>
          </w:p>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(Intentionally left blank)</w:t>
            </w:r>
          </w:p>
        </w:tc>
        <w:tc>
          <w:tcPr>
            <w:tcW w:w="3117" w:type="dxa"/>
            <w:tcBorders/>
          </w:tcPr>
          <w:p>
            <w:pPr>
              <w:pStyle w:val="NoSpacing"/>
              <w:widowControl w:val="false"/>
              <w:spacing w:before="0" w:after="0"/>
              <w:jc w:val="left"/>
              <w:rPr>
                <w:rFonts w:ascii="Arial" w:hAnsi="Arial" w:eastAsia="Times New Roman" w:cs="Arial"/>
                <w:sz w:val="24"/>
                <w:szCs w:val="24"/>
              </w:rPr>
            </w:pPr>
            <w:r>
              <w:rPr>
                <w:rFonts w:cs="Arial" w:ascii="Arial" w:hAnsi="Arial"/>
                <w:kern w:val="0"/>
                <w:lang w:val="en-US" w:eastAsia="en-US" w:bidi="ar-SA"/>
              </w:rPr>
              <w:t>75% of Paired products to be front-entry.  A minimum of 25% of Paired buildings to have courtyard drives.  Specific locations to be determined at the time of construction.</w:t>
            </w:r>
          </w:p>
        </w:tc>
      </w:tr>
      <w:tr>
        <w:trPr/>
        <w:tc>
          <w:tcPr>
            <w:tcW w:w="3116"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vMerge w:val="continue"/>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kern w:val="0"/>
                <w:sz w:val="24"/>
                <w:szCs w:val="24"/>
                <w:lang w:val="en-US" w:eastAsia="en-US" w:bidi="ar-SA"/>
              </w:rPr>
            </w:r>
          </w:p>
        </w:tc>
        <w:tc>
          <w:tcPr>
            <w:tcW w:w="3117" w:type="dxa"/>
            <w:tcBorders/>
          </w:tcPr>
          <w:p>
            <w:pPr>
              <w:pStyle w:val="NoSpacing"/>
              <w:widowControl w:val="false"/>
              <w:spacing w:before="0" w:after="0"/>
              <w:jc w:val="left"/>
              <w:rPr>
                <w:rFonts w:ascii="Arial" w:hAnsi="Arial" w:eastAsia="Times New Roman" w:cs="Arial"/>
                <w:sz w:val="24"/>
                <w:szCs w:val="24"/>
              </w:rPr>
            </w:pPr>
            <w:r>
              <w:rPr>
                <w:rFonts w:eastAsia="Times New Roman" w:cs="Arial" w:ascii="Arial" w:hAnsi="Arial"/>
                <w:i/>
                <w:iCs/>
                <w:kern w:val="0"/>
                <w:sz w:val="24"/>
                <w:szCs w:val="24"/>
                <w:lang w:val="en-US" w:eastAsia="en-US" w:bidi="ar-SA"/>
              </w:rPr>
              <w:t>Rationale</w:t>
            </w:r>
            <w:r>
              <w:rPr>
                <w:rFonts w:eastAsia="Times New Roman" w:cs="Arial" w:ascii="Arial" w:hAnsi="Arial"/>
                <w:kern w:val="0"/>
                <w:sz w:val="24"/>
                <w:szCs w:val="24"/>
                <w:lang w:val="en-US" w:eastAsia="en-US" w:bidi="ar-SA"/>
              </w:rPr>
              <w:t xml:space="preserve">:  </w:t>
            </w:r>
            <w:r>
              <w:rPr>
                <w:rFonts w:cs="Arial" w:ascii="Arial" w:hAnsi="Arial"/>
                <w:kern w:val="0"/>
                <w:lang w:val="en-US" w:eastAsia="en-US" w:bidi="ar-SA"/>
              </w:rPr>
              <w:t>Fischer Homes’ designs offer a variety of styles.  A z-lot courtyard configuration can be utilized to allow for a courtyard drive on one half of some buildings to meet the intent of this section.  See Exhibits C and D.</w:t>
            </w:r>
          </w:p>
        </w:tc>
      </w:tr>
    </w:tbl>
    <w:p>
      <w:pPr>
        <w:pStyle w:val="NoSpacing"/>
        <w:rPr>
          <w:rFonts w:ascii="Arial" w:hAnsi="Arial" w:eastAsia="Times New Roman" w:cs="Arial"/>
          <w:sz w:val="24"/>
          <w:szCs w:val="24"/>
        </w:rPr>
      </w:pPr>
      <w:r>
        <w:rPr>
          <w:rFonts w:eastAsia="Times New Roman" w:cs="Arial" w:ascii="Arial" w:hAnsi="Arial"/>
          <w:sz w:val="24"/>
          <w:szCs w:val="24"/>
        </w:rPr>
      </w:r>
    </w:p>
    <w:p>
      <w:pPr>
        <w:pStyle w:val="NoSpacing"/>
        <w:rPr>
          <w:rFonts w:ascii="Arial" w:hAnsi="Arial" w:eastAsia="Times New Roman" w:cs="Arial"/>
          <w:sz w:val="24"/>
          <w:szCs w:val="24"/>
        </w:rPr>
      </w:pPr>
      <w:bookmarkStart w:id="11" w:name="_Hlk144382826"/>
      <w:r>
        <w:rPr>
          <w:rFonts w:eastAsia="Times New Roman" w:cs="Arial" w:ascii="Arial" w:hAnsi="Arial"/>
          <w:sz w:val="24"/>
          <w:szCs w:val="24"/>
        </w:rPr>
        <w:t>All Standards in Section 155.101 of the Zoning Ordinance; DESIGN STANDARDS FOR SINGLE-UNIT/ MULTI-UNIT DWELLINGS shall be met for Designer Homes; however, Fischer Homes reserves the right to file for modifications with Planning Commission from Design Standards, per Section 155.105.</w:t>
      </w:r>
      <w:bookmarkEnd w:id="11"/>
      <w:r>
        <w:br w:type="page"/>
      </w:r>
    </w:p>
    <w:p>
      <w:pPr>
        <w:pStyle w:val="Normal"/>
        <w:rPr>
          <w:rFonts w:ascii="Arial" w:hAnsi="Arial" w:cs="Arial"/>
          <w:b/>
          <w:b/>
        </w:rPr>
      </w:pPr>
      <w:r>
        <w:rPr>
          <w:rFonts w:cs="Arial" w:ascii="Arial" w:hAnsi="Arial"/>
          <w:b/>
        </w:rPr>
        <w:t>EXHIBIT A- Pathway and Amenity Plan</w:t>
      </w:r>
    </w:p>
    <w:p>
      <w:pPr>
        <w:pStyle w:val="Normal"/>
        <w:rPr>
          <w:rFonts w:ascii="Arial" w:hAnsi="Arial" w:cs="Arial"/>
          <w:b/>
          <w:b/>
        </w:rPr>
      </w:pPr>
      <w:r>
        <w:rPr/>
        <w:drawing>
          <wp:inline distT="0" distB="0" distL="0" distR="0">
            <wp:extent cx="6413500" cy="3248025"/>
            <wp:effectExtent l="0" t="0" r="0" b="0"/>
            <wp:docPr id="3" name="Picture 1" descr="A blueprint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ueprint with a diagram&#10;&#10;Description automatically generated with medium confidence"/>
                    <pic:cNvPicPr>
                      <a:picLocks noChangeAspect="1" noChangeArrowheads="1"/>
                    </pic:cNvPicPr>
                  </pic:nvPicPr>
                  <pic:blipFill>
                    <a:blip r:embed="rId3"/>
                    <a:stretch>
                      <a:fillRect/>
                    </a:stretch>
                  </pic:blipFill>
                  <pic:spPr bwMode="auto">
                    <a:xfrm>
                      <a:off x="0" y="0"/>
                      <a:ext cx="6413500" cy="3248025"/>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EXHIBIT B- Entry Monument</w:t>
        <w:br/>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943600" cy="2987040"/>
            <wp:effectExtent l="0" t="0" r="0" b="0"/>
            <wp:docPr id="4" name="Image1" descr="A drawing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A drawing of a sign&#10;&#10;Description automatically generated"/>
                    <pic:cNvPicPr>
                      <a:picLocks noChangeAspect="1" noChangeArrowheads="1"/>
                    </pic:cNvPicPr>
                  </pic:nvPicPr>
                  <pic:blipFill>
                    <a:blip r:embed="rId4"/>
                    <a:stretch>
                      <a:fillRect/>
                    </a:stretch>
                  </pic:blipFill>
                  <pic:spPr bwMode="auto">
                    <a:xfrm>
                      <a:off x="0" y="0"/>
                      <a:ext cx="5943600" cy="2987040"/>
                    </a:xfrm>
                    <a:prstGeom prst="rect">
                      <a:avLst/>
                    </a:prstGeom>
                  </pic:spPr>
                </pic:pic>
              </a:graphicData>
            </a:graphic>
          </wp:inline>
        </w:drawing>
      </w:r>
    </w:p>
    <w:p>
      <w:pPr>
        <w:pStyle w:val="Normal"/>
        <w:rPr>
          <w:rFonts w:ascii="Arial" w:hAnsi="Arial" w:cs="Arial"/>
          <w:b/>
          <w:b/>
        </w:rPr>
      </w:pPr>
      <w:r>
        <w:rPr>
          <w:rFonts w:cs="Arial" w:ascii="Arial" w:hAnsi="Arial"/>
          <w:b/>
        </w:rPr>
      </w:r>
      <w:r>
        <w:br w:type="page"/>
      </w:r>
    </w:p>
    <w:p>
      <w:pPr>
        <w:pStyle w:val="Normal"/>
        <w:rPr/>
      </w:pPr>
      <w:r>
        <w:rPr>
          <w:rFonts w:cs="Arial" w:ascii="Arial" w:hAnsi="Arial"/>
          <w:b/>
        </w:rPr>
        <w:t>EXHIBIT C- Example Product Renderings</w:t>
      </w:r>
      <w:r>
        <w:rPr/>
        <w:t xml:space="preserve"> </w:t>
      </w:r>
    </w:p>
    <w:p>
      <w:pPr>
        <w:pStyle w:val="Normal"/>
        <w:rPr>
          <w:rFonts w:ascii="Arial" w:hAnsi="Arial" w:cs="Arial"/>
          <w:bCs/>
        </w:rPr>
      </w:pPr>
      <w:r>
        <w:rPr>
          <w:rFonts w:cs="Arial" w:ascii="Arial" w:hAnsi="Arial"/>
          <w:bCs/>
        </w:rPr>
        <w:t xml:space="preserve">The provided renderings are sample representations of each product only.   Supplemental sets of architectural renderings shall be provided to and maintained by Greenfield Planning staff.  </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Designer</w:t>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943600" cy="342646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5"/>
                    <a:stretch>
                      <a:fillRect/>
                    </a:stretch>
                  </pic:blipFill>
                  <pic:spPr bwMode="auto">
                    <a:xfrm>
                      <a:off x="0" y="0"/>
                      <a:ext cx="5943600" cy="3426460"/>
                    </a:xfrm>
                    <a:prstGeom prst="rect">
                      <a:avLst/>
                    </a:prstGeom>
                  </pic:spPr>
                </pic:pic>
              </a:graphicData>
            </a:graphic>
          </wp:inline>
        </w:drawing>
      </w:r>
    </w:p>
    <w:p>
      <w:pPr>
        <w:pStyle w:val="Normal"/>
        <w:rPr>
          <w:rFonts w:ascii="Arial" w:hAnsi="Arial" w:cs="Arial"/>
          <w:b/>
          <w:b/>
        </w:rPr>
      </w:pPr>
      <w:r>
        <w:rPr/>
        <w:drawing>
          <wp:inline distT="0" distB="0" distL="0" distR="0">
            <wp:extent cx="5943600" cy="3393440"/>
            <wp:effectExtent l="0" t="0" r="0" b="0"/>
            <wp:docPr id="6" name="Image3" descr="A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A house with a lawn and trees&#10;&#10;Description automatically generated"/>
                    <pic:cNvPicPr>
                      <a:picLocks noChangeAspect="1" noChangeArrowheads="1"/>
                    </pic:cNvPicPr>
                  </pic:nvPicPr>
                  <pic:blipFill>
                    <a:blip r:embed="rId6"/>
                    <a:stretch>
                      <a:fillRect/>
                    </a:stretch>
                  </pic:blipFill>
                  <pic:spPr bwMode="auto">
                    <a:xfrm>
                      <a:off x="0" y="0"/>
                      <a:ext cx="5943600" cy="3393440"/>
                    </a:xfrm>
                    <a:prstGeom prst="rect">
                      <a:avLst/>
                    </a:prstGeom>
                  </pic:spPr>
                </pic:pic>
              </a:graphicData>
            </a:graphic>
          </wp:inline>
        </w:drawing>
      </w:r>
    </w:p>
    <w:p>
      <w:pPr>
        <w:pStyle w:val="Normal"/>
        <w:rPr>
          <w:rFonts w:ascii="Arial" w:hAnsi="Arial" w:cs="Arial"/>
          <w:b/>
          <w:b/>
        </w:rPr>
      </w:pPr>
      <w:r>
        <w:rPr>
          <w:rFonts w:cs="Arial" w:ascii="Arial" w:hAnsi="Arial"/>
          <w:b/>
        </w:rPr>
      </w:r>
      <w:r>
        <w:br w:type="page"/>
      </w:r>
    </w:p>
    <w:p>
      <w:pPr>
        <w:pStyle w:val="Normal"/>
        <w:rPr>
          <w:rFonts w:ascii="Arial" w:hAnsi="Arial" w:cs="Arial"/>
          <w:b/>
          <w:b/>
        </w:rPr>
      </w:pPr>
      <w:r>
        <w:rPr>
          <w:rFonts w:cs="Arial" w:ascii="Arial" w:hAnsi="Arial"/>
          <w:b/>
        </w:rPr>
        <w:t>Maple Street</w:t>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943600" cy="3441700"/>
            <wp:effectExtent l="0" t="0" r="0" b="0"/>
            <wp:docPr id="7" name="Image4" descr="A house with a garage and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A house with a garage and a driveway&#10;&#10;Description automatically generated"/>
                    <pic:cNvPicPr>
                      <a:picLocks noChangeAspect="1" noChangeArrowheads="1"/>
                    </pic:cNvPicPr>
                  </pic:nvPicPr>
                  <pic:blipFill>
                    <a:blip r:embed="rId7"/>
                    <a:stretch>
                      <a:fillRect/>
                    </a:stretch>
                  </pic:blipFill>
                  <pic:spPr bwMode="auto">
                    <a:xfrm>
                      <a:off x="0" y="0"/>
                      <a:ext cx="5943600" cy="3441700"/>
                    </a:xfrm>
                    <a:prstGeom prst="rect">
                      <a:avLst/>
                    </a:prstGeom>
                  </pic:spPr>
                </pic:pic>
              </a:graphicData>
            </a:graphic>
          </wp:inline>
        </w:drawing>
      </w:r>
    </w:p>
    <w:p>
      <w:pPr>
        <w:pStyle w:val="Normal"/>
        <w:rPr>
          <w:rFonts w:ascii="Arial" w:hAnsi="Arial" w:cs="Arial"/>
          <w:b/>
          <w:b/>
        </w:rPr>
      </w:pPr>
      <w:r>
        <w:rPr/>
        <w:drawing>
          <wp:inline distT="0" distB="0" distL="0" distR="0">
            <wp:extent cx="5954395" cy="3466465"/>
            <wp:effectExtent l="0" t="0" r="0" b="0"/>
            <wp:docPr id="8" name="Image5" descr="A house with a garage and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A house with a garage and a driveway&#10;&#10;Description automatically generated"/>
                    <pic:cNvPicPr>
                      <a:picLocks noChangeAspect="1" noChangeArrowheads="1"/>
                    </pic:cNvPicPr>
                  </pic:nvPicPr>
                  <pic:blipFill>
                    <a:blip r:embed="rId8"/>
                    <a:srcRect l="537" t="0" r="0" b="0"/>
                    <a:stretch>
                      <a:fillRect/>
                    </a:stretch>
                  </pic:blipFill>
                  <pic:spPr bwMode="auto">
                    <a:xfrm>
                      <a:off x="0" y="0"/>
                      <a:ext cx="5954395" cy="3466465"/>
                    </a:xfrm>
                    <a:prstGeom prst="rect">
                      <a:avLst/>
                    </a:prstGeom>
                  </pic:spPr>
                </pic:pic>
              </a:graphicData>
            </a:graphic>
          </wp:inline>
        </w:drawing>
      </w:r>
      <w:r>
        <w:br w:type="page"/>
      </w:r>
    </w:p>
    <w:p>
      <w:pPr>
        <w:pStyle w:val="Normal"/>
        <w:rPr>
          <w:rFonts w:ascii="Arial" w:hAnsi="Arial" w:cs="Arial"/>
          <w:b/>
          <w:b/>
        </w:rPr>
      </w:pPr>
      <w:r>
        <w:rPr>
          <w:rFonts w:cs="Arial" w:ascii="Arial" w:hAnsi="Arial"/>
          <w:b/>
        </w:rPr>
        <w:t>Paired Patio</w:t>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943600" cy="3803650"/>
            <wp:effectExtent l="0" t="0" r="0" b="0"/>
            <wp:docPr id="9" name="Image6" descr="A house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A house with a driveway&#10;&#10;Description automatically generated"/>
                    <pic:cNvPicPr>
                      <a:picLocks noChangeAspect="1" noChangeArrowheads="1"/>
                    </pic:cNvPicPr>
                  </pic:nvPicPr>
                  <pic:blipFill>
                    <a:blip r:embed="rId9"/>
                    <a:srcRect l="0" t="3536" r="0" b="0"/>
                    <a:stretch>
                      <a:fillRect/>
                    </a:stretch>
                  </pic:blipFill>
                  <pic:spPr bwMode="auto">
                    <a:xfrm>
                      <a:off x="0" y="0"/>
                      <a:ext cx="5943600" cy="3803650"/>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956300" cy="3136900"/>
            <wp:effectExtent l="0" t="0" r="0" b="0"/>
            <wp:docPr id="10" name="Image7" descr="A house with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A house with a garage&#10;&#10;Description automatically generated"/>
                    <pic:cNvPicPr>
                      <a:picLocks noChangeAspect="1" noChangeArrowheads="1"/>
                    </pic:cNvPicPr>
                  </pic:nvPicPr>
                  <pic:blipFill>
                    <a:blip r:embed="rId10"/>
                    <a:stretch>
                      <a:fillRect/>
                    </a:stretch>
                  </pic:blipFill>
                  <pic:spPr bwMode="auto">
                    <a:xfrm>
                      <a:off x="0" y="0"/>
                      <a:ext cx="5956300" cy="3136900"/>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caps/>
        </w:rPr>
        <w:t>Exhibit D-</w:t>
      </w:r>
      <w:r>
        <w:rPr>
          <w:rFonts w:cs="Arial" w:ascii="Arial" w:hAnsi="Arial"/>
          <w:b/>
        </w:rPr>
        <w:t xml:space="preserve"> Typical Paired Cul-de-sac Driveway Configuration</w:t>
      </w:r>
    </w:p>
    <w:p>
      <w:pPr>
        <w:pStyle w:val="Normal"/>
        <w:rPr>
          <w:rFonts w:ascii="Arial" w:hAnsi="Arial" w:eastAsia="Calibri" w:cs="Arial" w:eastAsiaTheme="minorHAnsi"/>
          <w:b/>
          <w:b/>
        </w:rPr>
      </w:pPr>
      <w:r>
        <w:rPr/>
        <w:drawing>
          <wp:inline distT="0" distB="0" distL="0" distR="0">
            <wp:extent cx="5248275" cy="6905625"/>
            <wp:effectExtent l="0" t="0" r="0" b="0"/>
            <wp:docPr id="11" name="Image8" descr="A diagram of a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A diagram of a design&#10;&#10;Description automatically generated with medium confidence"/>
                    <pic:cNvPicPr>
                      <a:picLocks noChangeAspect="1" noChangeArrowheads="1"/>
                    </pic:cNvPicPr>
                  </pic:nvPicPr>
                  <pic:blipFill>
                    <a:blip r:embed="rId11"/>
                    <a:stretch>
                      <a:fillRect/>
                    </a:stretch>
                  </pic:blipFill>
                  <pic:spPr bwMode="auto">
                    <a:xfrm>
                      <a:off x="0" y="0"/>
                      <a:ext cx="5248275" cy="6905625"/>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br/>
        <w:br/>
      </w:r>
    </w:p>
    <w:p>
      <w:pPr>
        <w:pStyle w:val="Normal"/>
        <w:rPr>
          <w:rFonts w:ascii="Arial" w:hAnsi="Arial" w:cs="Arial"/>
          <w:b/>
          <w:b/>
        </w:rPr>
      </w:pPr>
      <w:r>
        <w:rPr>
          <w:rFonts w:cs="Arial" w:ascii="Arial" w:hAnsi="Arial"/>
          <w:b/>
        </w:rPr>
      </w:r>
      <w:r>
        <w:br w:type="page"/>
      </w:r>
    </w:p>
    <w:p>
      <w:pPr>
        <w:pStyle w:val="Normal"/>
        <w:rPr>
          <w:rFonts w:ascii="Arial" w:hAnsi="Arial" w:cs="Arial"/>
          <w:b/>
          <w:b/>
        </w:rPr>
      </w:pPr>
      <w:r>
        <w:rPr>
          <w:rFonts w:cs="Arial" w:ascii="Arial" w:hAnsi="Arial"/>
          <w:b/>
          <w:caps/>
        </w:rPr>
        <w:t>Exhibit E</w:t>
      </w:r>
      <w:r>
        <w:rPr>
          <w:rFonts w:cs="Arial" w:ascii="Arial" w:hAnsi="Arial"/>
          <w:b/>
        </w:rPr>
        <w:t>- Example Color Palettes</w:t>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44900"/>
            <wp:effectExtent l="0" t="0" r="0" b="0"/>
            <wp:docPr id="12" name="Image9"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A close-up of a color palette&#10;&#10;Description automatically generated"/>
                    <pic:cNvPicPr>
                      <a:picLocks noChangeAspect="1" noChangeArrowheads="1"/>
                    </pic:cNvPicPr>
                  </pic:nvPicPr>
                  <pic:blipFill>
                    <a:blip r:embed="rId12"/>
                    <a:stretch>
                      <a:fillRect/>
                    </a:stretch>
                  </pic:blipFill>
                  <pic:spPr bwMode="auto">
                    <a:xfrm>
                      <a:off x="0" y="0"/>
                      <a:ext cx="5943600" cy="3644900"/>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rmal"/>
        <w:rPr>
          <w:rFonts w:ascii="Arial" w:hAnsi="Arial" w:cs="Arial"/>
          <w:b/>
          <w:b/>
        </w:rPr>
      </w:pPr>
      <w:r>
        <w:rPr/>
        <w:drawing>
          <wp:inline distT="0" distB="0" distL="0" distR="0">
            <wp:extent cx="5648325" cy="3585845"/>
            <wp:effectExtent l="0" t="0" r="0" b="0"/>
            <wp:docPr id="13" name="Image10"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A close-up of a color palette&#10;&#10;Description automatically generated"/>
                    <pic:cNvPicPr>
                      <a:picLocks noChangeAspect="1" noChangeArrowheads="1"/>
                    </pic:cNvPicPr>
                  </pic:nvPicPr>
                  <pic:blipFill>
                    <a:blip r:embed="rId13"/>
                    <a:stretch>
                      <a:fillRect/>
                    </a:stretch>
                  </pic:blipFill>
                  <pic:spPr bwMode="auto">
                    <a:xfrm>
                      <a:off x="0" y="0"/>
                      <a:ext cx="5648325" cy="3585845"/>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drawing>
          <wp:inline distT="0" distB="0" distL="0" distR="0">
            <wp:extent cx="5715000" cy="3578860"/>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4"/>
                    <a:stretch>
                      <a:fillRect/>
                    </a:stretch>
                  </pic:blipFill>
                  <pic:spPr bwMode="auto">
                    <a:xfrm>
                      <a:off x="0" y="0"/>
                      <a:ext cx="5715000" cy="3578860"/>
                    </a:xfrm>
                    <a:prstGeom prst="rect">
                      <a:avLst/>
                    </a:prstGeom>
                  </pic:spPr>
                </pic:pic>
              </a:graphicData>
            </a:graphic>
          </wp:inline>
        </w:drawing>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eastAsia="Calibri" w:cs="Arial" w:eastAsiaTheme="minorHAnsi"/>
          <w:b/>
          <w:b/>
        </w:rPr>
      </w:pPr>
      <w:r>
        <w:rPr/>
        <w:drawing>
          <wp:inline distT="0" distB="0" distL="0" distR="0">
            <wp:extent cx="6029325" cy="3733800"/>
            <wp:effectExtent l="0" t="0" r="0" b="0"/>
            <wp:docPr id="15" name="Image12"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A close-up of a color palette&#10;&#10;Description automatically generated"/>
                    <pic:cNvPicPr>
                      <a:picLocks noChangeAspect="1" noChangeArrowheads="1"/>
                    </pic:cNvPicPr>
                  </pic:nvPicPr>
                  <pic:blipFill>
                    <a:blip r:embed="rId15"/>
                    <a:stretch>
                      <a:fillRect/>
                    </a:stretch>
                  </pic:blipFill>
                  <pic:spPr bwMode="auto">
                    <a:xfrm>
                      <a:off x="0" y="0"/>
                      <a:ext cx="6029325" cy="3733800"/>
                    </a:xfrm>
                    <a:prstGeom prst="rect">
                      <a:avLst/>
                    </a:prstGeom>
                  </pic:spPr>
                </pic:pic>
              </a:graphicData>
            </a:graphic>
          </wp:inline>
        </w:drawing>
      </w:r>
    </w:p>
    <w:p>
      <w:pPr>
        <w:pStyle w:val="NoSpacing"/>
        <w:rPr>
          <w:rFonts w:ascii="Arial" w:hAnsi="Arial" w:cs="Arial"/>
          <w:b/>
          <w:b/>
          <w:sz w:val="24"/>
          <w:szCs w:val="24"/>
        </w:rPr>
      </w:pPr>
      <w:r>
        <w:rPr/>
        <w:drawing>
          <wp:inline distT="0" distB="0" distL="0" distR="0">
            <wp:extent cx="6030595" cy="3695700"/>
            <wp:effectExtent l="0" t="0" r="0" b="0"/>
            <wp:docPr id="16" name="Image13"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A close-up of a color palette&#10;&#10;Description automatically generated"/>
                    <pic:cNvPicPr>
                      <a:picLocks noChangeAspect="1" noChangeArrowheads="1"/>
                    </pic:cNvPicPr>
                  </pic:nvPicPr>
                  <pic:blipFill>
                    <a:blip r:embed="rId16"/>
                    <a:stretch>
                      <a:fillRect/>
                    </a:stretch>
                  </pic:blipFill>
                  <pic:spPr bwMode="auto">
                    <a:xfrm>
                      <a:off x="0" y="0"/>
                      <a:ext cx="6030595" cy="3695700"/>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58235"/>
            <wp:effectExtent l="0" t="0" r="0" b="0"/>
            <wp:docPr id="17" name="Image14"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A close-up of a color palette&#10;&#10;Description automatically generated"/>
                    <pic:cNvPicPr>
                      <a:picLocks noChangeAspect="1" noChangeArrowheads="1"/>
                    </pic:cNvPicPr>
                  </pic:nvPicPr>
                  <pic:blipFill>
                    <a:blip r:embed="rId17"/>
                    <a:stretch>
                      <a:fillRect/>
                    </a:stretch>
                  </pic:blipFill>
                  <pic:spPr bwMode="auto">
                    <a:xfrm>
                      <a:off x="0" y="0"/>
                      <a:ext cx="5943600" cy="3658235"/>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709035"/>
            <wp:effectExtent l="0" t="0" r="0" b="0"/>
            <wp:docPr id="18" name="Image15"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A close-up of a color palette&#10;&#10;Description automatically generated"/>
                    <pic:cNvPicPr>
                      <a:picLocks noChangeAspect="1" noChangeArrowheads="1"/>
                    </pic:cNvPicPr>
                  </pic:nvPicPr>
                  <pic:blipFill>
                    <a:blip r:embed="rId18"/>
                    <a:stretch>
                      <a:fillRect/>
                    </a:stretch>
                  </pic:blipFill>
                  <pic:spPr bwMode="auto">
                    <a:xfrm>
                      <a:off x="0" y="0"/>
                      <a:ext cx="5943600" cy="3709035"/>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26485"/>
            <wp:effectExtent l="0" t="0" r="0" b="0"/>
            <wp:docPr id="19" name="Image16"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A close-up of a color palette&#10;&#10;Description automatically generated"/>
                    <pic:cNvPicPr>
                      <a:picLocks noChangeAspect="1" noChangeArrowheads="1"/>
                    </pic:cNvPicPr>
                  </pic:nvPicPr>
                  <pic:blipFill>
                    <a:blip r:embed="rId19"/>
                    <a:stretch>
                      <a:fillRect/>
                    </a:stretch>
                  </pic:blipFill>
                  <pic:spPr bwMode="auto">
                    <a:xfrm>
                      <a:off x="0" y="0"/>
                      <a:ext cx="5943600" cy="3626485"/>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12515"/>
            <wp:effectExtent l="0" t="0" r="0" b="0"/>
            <wp:docPr id="20" name="Image17"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A close-up of a color palette&#10;&#10;Description automatically generated"/>
                    <pic:cNvPicPr>
                      <a:picLocks noChangeAspect="1" noChangeArrowheads="1"/>
                    </pic:cNvPicPr>
                  </pic:nvPicPr>
                  <pic:blipFill>
                    <a:blip r:embed="rId20"/>
                    <a:stretch>
                      <a:fillRect/>
                    </a:stretch>
                  </pic:blipFill>
                  <pic:spPr bwMode="auto">
                    <a:xfrm>
                      <a:off x="0" y="0"/>
                      <a:ext cx="5943600" cy="3612515"/>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737610"/>
            <wp:effectExtent l="0" t="0" r="0" b="0"/>
            <wp:docPr id="21" name="Image18"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A close-up of a color palette&#10;&#10;Description automatically generated"/>
                    <pic:cNvPicPr>
                      <a:picLocks noChangeAspect="1" noChangeArrowheads="1"/>
                    </pic:cNvPicPr>
                  </pic:nvPicPr>
                  <pic:blipFill>
                    <a:blip r:embed="rId21"/>
                    <a:stretch>
                      <a:fillRect/>
                    </a:stretch>
                  </pic:blipFill>
                  <pic:spPr bwMode="auto">
                    <a:xfrm>
                      <a:off x="0" y="0"/>
                      <a:ext cx="5943600" cy="3737610"/>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67125"/>
            <wp:effectExtent l="0" t="0" r="0" b="0"/>
            <wp:docPr id="22" name="Image19" descr="A close-up of a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A close-up of a color palette&#10;&#10;Description automatically generated"/>
                    <pic:cNvPicPr>
                      <a:picLocks noChangeAspect="1" noChangeArrowheads="1"/>
                    </pic:cNvPicPr>
                  </pic:nvPicPr>
                  <pic:blipFill>
                    <a:blip r:embed="rId22"/>
                    <a:stretch>
                      <a:fillRect/>
                    </a:stretch>
                  </pic:blipFill>
                  <pic:spPr bwMode="auto">
                    <a:xfrm>
                      <a:off x="0" y="0"/>
                      <a:ext cx="5943600" cy="3667125"/>
                    </a:xfrm>
                    <a:prstGeom prst="rect">
                      <a:avLst/>
                    </a:prstGeom>
                  </pic:spPr>
                </pic:pic>
              </a:graphicData>
            </a:graphic>
          </wp:inline>
        </w:drawing>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b/>
          <w:b/>
          <w:sz w:val="24"/>
          <w:szCs w:val="24"/>
        </w:rPr>
      </w:pPr>
      <w:r>
        <w:rPr/>
        <w:drawing>
          <wp:inline distT="0" distB="0" distL="0" distR="0">
            <wp:extent cx="5943600" cy="3643630"/>
            <wp:effectExtent l="0" t="0" r="0" b="0"/>
            <wp:docPr id="23" name="Image20" descr="A close-up of a color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A close-up of a color guide&#10;&#10;Description automatically generated"/>
                    <pic:cNvPicPr>
                      <a:picLocks noChangeAspect="1" noChangeArrowheads="1"/>
                    </pic:cNvPicPr>
                  </pic:nvPicPr>
                  <pic:blipFill>
                    <a:blip r:embed="rId23"/>
                    <a:stretch>
                      <a:fillRect/>
                    </a:stretch>
                  </pic:blipFill>
                  <pic:spPr bwMode="auto">
                    <a:xfrm>
                      <a:off x="0" y="0"/>
                      <a:ext cx="5943600" cy="3643630"/>
                    </a:xfrm>
                    <a:prstGeom prst="rect">
                      <a:avLst/>
                    </a:prstGeom>
                  </pic:spPr>
                </pic:pic>
              </a:graphicData>
            </a:graphic>
          </wp:inline>
        </w:drawing>
      </w:r>
    </w:p>
    <w:p>
      <w:pPr>
        <w:sectPr>
          <w:headerReference w:type="default" r:id="rId24"/>
          <w:footerReference w:type="default" r:id="rId25"/>
          <w:type w:val="nextPage"/>
          <w:pgSz w:w="12240" w:h="15840"/>
          <w:pgMar w:left="1440" w:right="1440" w:gutter="0" w:header="720" w:top="1440" w:footer="720" w:bottom="1440"/>
          <w:pgNumType w:fmt="decimal"/>
          <w:formProt w:val="false"/>
          <w:textDirection w:val="lrTb"/>
          <w:docGrid w:type="default" w:linePitch="360" w:charSpace="0"/>
        </w:sectPr>
        <w:pStyle w:val="NoSpacing"/>
        <w:rPr>
          <w:rFonts w:ascii="Arial" w:hAnsi="Arial" w:cs="Arial"/>
          <w:b/>
          <w:b/>
          <w:sz w:val="24"/>
          <w:szCs w:val="24"/>
        </w:rPr>
      </w:pPr>
      <w:r>
        <w:rPr>
          <w:rFonts w:cs="Arial" w:ascii="Arial" w:hAnsi="Arial"/>
          <w:b/>
          <w:sz w:val="24"/>
          <w:szCs w:val="24"/>
        </w:rPr>
      </w:r>
    </w:p>
    <w:p>
      <w:pPr>
        <w:pStyle w:val="NoSpacing"/>
        <w:numPr>
          <w:ilvl w:val="0"/>
          <w:numId w:val="4"/>
        </w:numPr>
        <w:rPr>
          <w:rFonts w:ascii="Arial" w:hAnsi="Arial" w:cs="Arial"/>
          <w:b/>
          <w:b/>
          <w:sz w:val="24"/>
          <w:szCs w:val="24"/>
        </w:rPr>
      </w:pPr>
      <w:r>
        <w:rPr>
          <w:rFonts w:cs="Arial" w:ascii="Arial" w:hAnsi="Arial"/>
          <w:b/>
          <w:caps/>
          <w:sz w:val="24"/>
          <w:szCs w:val="24"/>
        </w:rPr>
        <w:t>Final PUD Plan-</w:t>
      </w:r>
      <w:r>
        <w:rPr>
          <w:rFonts w:cs="Arial" w:ascii="Arial" w:hAnsi="Arial"/>
          <w:b/>
          <w:sz w:val="24"/>
          <w:szCs w:val="24"/>
        </w:rPr>
        <w:t xml:space="preserve"> See page P002 of Plan Set for full-size version.</w:t>
      </w:r>
    </w:p>
    <w:p>
      <w:pPr>
        <w:pStyle w:val="NoSpacing"/>
        <w:rPr>
          <w:rFonts w:ascii="Arial" w:hAnsi="Arial" w:cs="Arial"/>
          <w:b/>
          <w:b/>
          <w:sz w:val="24"/>
          <w:szCs w:val="24"/>
        </w:rPr>
      </w:pPr>
      <w:r>
        <w:drawing>
          <wp:anchor behindDoc="0" distT="0" distB="0" distL="0" distR="0" simplePos="0" locked="0" layoutInCell="0" allowOverlap="1" relativeHeight="27">
            <wp:simplePos x="0" y="0"/>
            <wp:positionH relativeFrom="column">
              <wp:posOffset>6312535</wp:posOffset>
            </wp:positionH>
            <wp:positionV relativeFrom="paragraph">
              <wp:posOffset>882015</wp:posOffset>
            </wp:positionV>
            <wp:extent cx="1471930" cy="2828290"/>
            <wp:effectExtent l="0" t="0" r="0" b="0"/>
            <wp:wrapNone/>
            <wp:docPr id="24" name="Image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A screenshot of a computer screen&#10;&#10;Description automatically generated"/>
                    <pic:cNvPicPr>
                      <a:picLocks noChangeAspect="1" noChangeArrowheads="1"/>
                    </pic:cNvPicPr>
                  </pic:nvPicPr>
                  <pic:blipFill>
                    <a:blip r:embed="rId26"/>
                    <a:stretch>
                      <a:fillRect/>
                    </a:stretch>
                  </pic:blipFill>
                  <pic:spPr bwMode="auto">
                    <a:xfrm>
                      <a:off x="0" y="0"/>
                      <a:ext cx="1471930" cy="2828290"/>
                    </a:xfrm>
                    <a:prstGeom prst="rect">
                      <a:avLst/>
                    </a:prstGeom>
                  </pic:spPr>
                </pic:pic>
              </a:graphicData>
            </a:graphic>
          </wp:anchor>
        </w:drawing>
      </w:r>
      <w:r>
        <w:rPr/>
        <w:drawing>
          <wp:inline distT="0" distB="0" distL="0" distR="0">
            <wp:extent cx="8421370" cy="5695950"/>
            <wp:effectExtent l="0" t="0" r="0" b="0"/>
            <wp:docPr id="25" name="Image2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A blueprint of a building&#10;&#10;Description automatically generated"/>
                    <pic:cNvPicPr>
                      <a:picLocks noChangeAspect="1" noChangeArrowheads="1"/>
                    </pic:cNvPicPr>
                  </pic:nvPicPr>
                  <pic:blipFill>
                    <a:blip r:embed="rId27"/>
                    <a:stretch>
                      <a:fillRect/>
                    </a:stretch>
                  </pic:blipFill>
                  <pic:spPr bwMode="auto">
                    <a:xfrm>
                      <a:off x="0" y="0"/>
                      <a:ext cx="8421370" cy="5695950"/>
                    </a:xfrm>
                    <a:prstGeom prst="rect">
                      <a:avLst/>
                    </a:prstGeom>
                  </pic:spPr>
                </pic:pic>
              </a:graphicData>
            </a:graphic>
          </wp:inline>
        </w:drawing>
      </w:r>
      <w:r>
        <w:rPr/>
        <w:t xml:space="preserve"> </w:t>
      </w:r>
    </w:p>
    <w:p>
      <w:pPr>
        <w:pStyle w:val="NoSpacing"/>
        <w:numPr>
          <w:ilvl w:val="0"/>
          <w:numId w:val="4"/>
        </w:numPr>
        <w:rPr>
          <w:rFonts w:ascii="Arial" w:hAnsi="Arial" w:eastAsia="Arial" w:cs="Arial"/>
          <w:b/>
          <w:b/>
          <w:bCs/>
          <w:caps/>
          <w:w w:val="93"/>
        </w:rPr>
      </w:pPr>
      <w:r>
        <w:rPr>
          <w:rFonts w:cs="Arial" w:ascii="Arial" w:hAnsi="Arial"/>
          <w:b/>
          <w:caps/>
          <w:sz w:val="24"/>
          <w:szCs w:val="24"/>
        </w:rPr>
        <w:t xml:space="preserve">Phasing Plan - </w:t>
      </w:r>
      <w:r>
        <w:rPr>
          <w:rFonts w:eastAsia="Arial" w:cs="Arial" w:ascii="Arial" w:hAnsi="Arial"/>
          <w:b/>
          <w:bCs/>
          <w:caps/>
          <w:w w:val="93"/>
          <w:sz w:val="20"/>
          <w:szCs w:val="20"/>
        </w:rPr>
        <w:t>Developer reserves The right to modify phasing plan up to 10% of lots without the plan comission approval. Second access shall be required once the 50</w:t>
      </w:r>
      <w:r>
        <w:rPr>
          <w:rFonts w:eastAsia="Arial" w:cs="Arial" w:ascii="Arial" w:hAnsi="Arial"/>
          <w:b/>
          <w:bCs/>
          <w:caps/>
          <w:w w:val="93"/>
          <w:sz w:val="20"/>
          <w:szCs w:val="20"/>
          <w:vertAlign w:val="superscript"/>
        </w:rPr>
        <w:t>th</w:t>
      </w:r>
      <w:r>
        <w:rPr>
          <w:rFonts w:eastAsia="Arial" w:cs="Arial" w:ascii="Arial" w:hAnsi="Arial"/>
          <w:b/>
          <w:bCs/>
          <w:caps/>
          <w:w w:val="93"/>
          <w:sz w:val="20"/>
          <w:szCs w:val="20"/>
        </w:rPr>
        <w:t xml:space="preserve"> building permit in the development is granted. </w:t>
      </w:r>
      <w:r>
        <w:rPr>
          <w:rFonts w:eastAsia="Arial" w:cs="Arial" w:ascii="Arial" w:hAnsi="Arial"/>
          <w:b/>
          <w:bCs/>
          <w:caps/>
          <w:w w:val="93"/>
        </w:rPr>
        <w:t xml:space="preserve">- </w:t>
      </w:r>
      <w:r>
        <w:rPr>
          <w:rFonts w:cs="Arial" w:ascii="Arial" w:hAnsi="Arial"/>
          <w:b/>
          <w:sz w:val="24"/>
          <w:szCs w:val="24"/>
        </w:rPr>
        <w:t>See page P112 of Plan Set for full-size version.</w:t>
      </w:r>
    </w:p>
    <w:p>
      <w:pPr>
        <w:sectPr>
          <w:headerReference w:type="default" r:id="rId29"/>
          <w:footerReference w:type="default" r:id="rId30"/>
          <w:type w:val="nextPage"/>
          <w:pgSz w:orient="landscape" w:w="15840" w:h="12240"/>
          <w:pgMar w:left="1440" w:right="1440" w:gutter="0" w:header="720" w:top="1440" w:footer="720" w:bottom="1440"/>
          <w:pgNumType w:fmt="decimal"/>
          <w:formProt w:val="false"/>
          <w:textDirection w:val="lrTb"/>
          <w:docGrid w:type="default" w:linePitch="360" w:charSpace="0"/>
        </w:sectPr>
        <w:pStyle w:val="NoSpacing"/>
        <w:rPr>
          <w:rFonts w:ascii="Arial" w:hAnsi="Arial" w:eastAsia="Arial" w:cs="Arial"/>
          <w:b/>
          <w:b/>
          <w:bCs/>
          <w:caps/>
          <w:w w:val="93"/>
        </w:rPr>
      </w:pPr>
      <w:r>
        <w:rPr/>
        <w:drawing>
          <wp:inline distT="0" distB="0" distL="0" distR="0">
            <wp:extent cx="8034020" cy="5429250"/>
            <wp:effectExtent l="0" t="0" r="0" b="0"/>
            <wp:docPr id="26" name="Image2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A blueprint of a building&#10;&#10;Description automatically generated"/>
                    <pic:cNvPicPr>
                      <a:picLocks noChangeAspect="1" noChangeArrowheads="1"/>
                    </pic:cNvPicPr>
                  </pic:nvPicPr>
                  <pic:blipFill>
                    <a:blip r:embed="rId28"/>
                    <a:srcRect l="953" t="0" r="0" b="0"/>
                    <a:stretch>
                      <a:fillRect/>
                    </a:stretch>
                  </pic:blipFill>
                  <pic:spPr bwMode="auto">
                    <a:xfrm>
                      <a:off x="0" y="0"/>
                      <a:ext cx="8034020" cy="5429250"/>
                    </a:xfrm>
                    <a:prstGeom prst="rect">
                      <a:avLst/>
                    </a:prstGeom>
                  </pic:spPr>
                </pic:pic>
              </a:graphicData>
            </a:graphic>
          </wp:inline>
        </w:drawing>
      </w:r>
      <w:r>
        <w:br w:type="page"/>
      </w:r>
    </w:p>
    <w:p>
      <w:pPr>
        <w:pStyle w:val="Normal"/>
        <w:spacing w:beforeAutospacing="1" w:after="240"/>
        <w:rPr>
          <w:rFonts w:ascii="Arial" w:hAnsi="Arial" w:cs="Arial"/>
          <w:b/>
          <w:b/>
          <w:bCs/>
        </w:rPr>
      </w:pPr>
      <w:r>
        <w:rPr>
          <w:rFonts w:eastAsia="Arial" w:cs="Arial" w:ascii="Arial" w:hAnsi="Arial"/>
          <w:b/>
          <w:bCs/>
          <w:w w:val="93"/>
        </w:rPr>
        <w:t>SECTION</w:t>
      </w:r>
      <w:r>
        <w:rPr>
          <w:rFonts w:eastAsia="Arial" w:cs="Arial" w:ascii="Arial" w:hAnsi="Arial"/>
          <w:b/>
          <w:bCs/>
          <w:spacing w:val="5"/>
          <w:w w:val="93"/>
        </w:rPr>
        <w:t xml:space="preserve"> </w:t>
      </w:r>
      <w:r>
        <w:rPr>
          <w:rFonts w:eastAsia="Arial" w:cs="Arial" w:ascii="Arial" w:hAnsi="Arial"/>
          <w:b/>
          <w:bCs/>
        </w:rPr>
        <w:t>V</w:t>
      </w:r>
      <w:r>
        <w:rPr>
          <w:rFonts w:eastAsia="Arial Unicode MS" w:cs="Arial Unicode MS" w:ascii="Arial Unicode MS" w:hAnsi="Arial Unicode MS"/>
          <w:b/>
          <w:bCs/>
        </w:rPr>
        <w:t>.</w:t>
      </w:r>
      <w:r>
        <w:rPr>
          <w:rFonts w:eastAsia="Arial Unicode MS" w:cs="Arial Unicode MS" w:ascii="Arial Unicode MS" w:hAnsi="Arial Unicode MS"/>
          <w:b/>
          <w:bCs/>
          <w:spacing w:val="12"/>
        </w:rPr>
        <w:t xml:space="preserve">  </w:t>
      </w:r>
      <w:r>
        <w:rPr>
          <w:rFonts w:cs="Arial" w:ascii="Arial" w:hAnsi="Arial"/>
          <w:b/>
          <w:bCs/>
          <w:caps/>
        </w:rPr>
        <w:t>Statement of Commitments:</w:t>
      </w:r>
    </w:p>
    <w:p>
      <w:pPr>
        <w:pStyle w:val="Normal"/>
        <w:spacing w:beforeAutospacing="1" w:after="240"/>
        <w:rPr>
          <w:rFonts w:ascii="Arial" w:hAnsi="Arial" w:cs="Arial"/>
        </w:rPr>
      </w:pPr>
      <w:r>
        <w:rPr>
          <w:rFonts w:cs="Arial" w:ascii="Arial" w:hAnsi="Arial"/>
        </w:rPr>
        <w:t>Open Space, Landscaping, and Screening Commitments</w:t>
      </w:r>
    </w:p>
    <w:p>
      <w:pPr>
        <w:pStyle w:val="ListParagraph"/>
        <w:numPr>
          <w:ilvl w:val="0"/>
          <w:numId w:val="3"/>
        </w:numPr>
        <w:spacing w:beforeAutospacing="1" w:after="240"/>
        <w:rPr>
          <w:rFonts w:ascii="Arial" w:hAnsi="Arial" w:cs="Arial"/>
        </w:rPr>
      </w:pPr>
      <w:r>
        <w:rPr>
          <w:rFonts w:cs="Arial" w:ascii="Arial" w:hAnsi="Arial"/>
        </w:rPr>
        <w:t>Open Space</w:t>
      </w:r>
    </w:p>
    <w:p>
      <w:pPr>
        <w:pStyle w:val="ListParagraph"/>
        <w:numPr>
          <w:ilvl w:val="1"/>
          <w:numId w:val="3"/>
        </w:numPr>
        <w:spacing w:before="0" w:after="240"/>
        <w:rPr>
          <w:rFonts w:ascii="Arial" w:hAnsi="Arial" w:cs="Arial"/>
        </w:rPr>
      </w:pPr>
      <w:r>
        <w:rPr>
          <w:rFonts w:cs="Arial" w:ascii="Arial" w:hAnsi="Arial"/>
        </w:rPr>
        <w:t>The open space shall be in conformance with the Final Development Plan.  All common open space shall be owned and maintained by the HOA.</w:t>
      </w:r>
    </w:p>
    <w:p>
      <w:pPr>
        <w:pStyle w:val="ListParagraph"/>
        <w:numPr>
          <w:ilvl w:val="1"/>
          <w:numId w:val="3"/>
        </w:numPr>
        <w:spacing w:before="0" w:after="240"/>
        <w:rPr>
          <w:rFonts w:ascii="Arial" w:hAnsi="Arial" w:cs="Arial"/>
        </w:rPr>
      </w:pPr>
      <w:r>
        <w:rPr>
          <w:rFonts w:cs="Arial" w:ascii="Arial" w:hAnsi="Arial"/>
        </w:rPr>
        <w:t>Seating pockets shall be constructed near Pond 1, including a bench, trash can, and landscaping.</w:t>
      </w:r>
    </w:p>
    <w:p>
      <w:pPr>
        <w:pStyle w:val="ListParagraph"/>
        <w:numPr>
          <w:ilvl w:val="1"/>
          <w:numId w:val="3"/>
        </w:numPr>
        <w:spacing w:before="0" w:after="240"/>
        <w:rPr>
          <w:rFonts w:ascii="Arial" w:hAnsi="Arial" w:cs="Arial"/>
        </w:rPr>
      </w:pPr>
      <w:r>
        <w:rPr>
          <w:rFonts w:cs="Arial" w:ascii="Arial" w:hAnsi="Arial"/>
        </w:rPr>
        <w:t>A trellis or gazebo structure shall be constructed near Pond 1.</w:t>
      </w:r>
    </w:p>
    <w:p>
      <w:pPr>
        <w:pStyle w:val="ListParagraph"/>
        <w:numPr>
          <w:ilvl w:val="1"/>
          <w:numId w:val="3"/>
        </w:numPr>
        <w:spacing w:before="0" w:after="240"/>
        <w:rPr>
          <w:rFonts w:ascii="Arial" w:hAnsi="Arial" w:cs="Arial"/>
        </w:rPr>
      </w:pPr>
      <w:r>
        <w:rPr>
          <w:rFonts w:cs="Arial" w:ascii="Arial" w:hAnsi="Arial"/>
        </w:rPr>
        <w:t>Pond 1 will contain a fountain.</w:t>
      </w:r>
    </w:p>
    <w:p>
      <w:pPr>
        <w:pStyle w:val="ListParagraph"/>
        <w:numPr>
          <w:ilvl w:val="0"/>
          <w:numId w:val="3"/>
        </w:numPr>
        <w:spacing w:before="0" w:after="240"/>
        <w:rPr>
          <w:rFonts w:ascii="Arial" w:hAnsi="Arial" w:cs="Arial"/>
        </w:rPr>
      </w:pPr>
      <w:r>
        <w:rPr>
          <w:rFonts w:cs="Arial" w:ascii="Arial" w:hAnsi="Arial"/>
        </w:rPr>
        <w:t>Landscaping</w:t>
      </w:r>
    </w:p>
    <w:p>
      <w:pPr>
        <w:pStyle w:val="ListParagraph"/>
        <w:numPr>
          <w:ilvl w:val="1"/>
          <w:numId w:val="3"/>
        </w:numPr>
        <w:spacing w:before="0" w:after="240"/>
        <w:rPr>
          <w:rFonts w:ascii="Arial" w:hAnsi="Arial" w:cs="Arial"/>
        </w:rPr>
      </w:pPr>
      <w:r>
        <w:rPr>
          <w:rFonts w:cs="Arial" w:ascii="Arial" w:hAnsi="Arial"/>
        </w:rPr>
        <w:t>Mounded landscaping will be installed along perimeter streets (Davis Road &amp; Franklin Street).</w:t>
      </w:r>
    </w:p>
    <w:p>
      <w:pPr>
        <w:pStyle w:val="ListParagraph"/>
        <w:numPr>
          <w:ilvl w:val="1"/>
          <w:numId w:val="3"/>
        </w:numPr>
        <w:spacing w:before="0" w:after="240"/>
        <w:rPr>
          <w:rFonts w:ascii="Arial" w:hAnsi="Arial" w:cs="Arial"/>
        </w:rPr>
      </w:pPr>
      <w:r>
        <w:rPr>
          <w:rFonts w:cs="Arial" w:ascii="Arial" w:hAnsi="Arial"/>
        </w:rPr>
        <w:t xml:space="preserve">Landscaping shall be provided in accordance with Section 155.063 of the Unified Development Ordinance and Chapter 97 of the Greenfield Code of Ordinances.  Landscaping species shall be consistent with Section 155.063 of the Unified Development Ordinance and Chapter 97 of the Greenfield Code of Ordinances, but the right to substitute based on material availability is reserved.  A final landscaping plan and any modifications shall be approved by the Planning Director.  </w:t>
      </w:r>
    </w:p>
    <w:p>
      <w:pPr>
        <w:pStyle w:val="ListParagraph"/>
        <w:numPr>
          <w:ilvl w:val="1"/>
          <w:numId w:val="3"/>
        </w:numPr>
        <w:spacing w:before="0" w:after="240"/>
        <w:rPr>
          <w:rFonts w:ascii="Arial" w:hAnsi="Arial" w:cs="Arial"/>
        </w:rPr>
      </w:pPr>
      <w:r>
        <w:rPr>
          <w:rFonts w:cs="Arial" w:ascii="Arial" w:hAnsi="Arial"/>
        </w:rPr>
        <w:t>Landscaping will be installed on both sides of Parkrose Way, and as a buffer to the existing residences.   Additionally, landscaping will be installed in Common Area H, Common Area I, and Common Area J.</w:t>
      </w:r>
    </w:p>
    <w:p>
      <w:pPr>
        <w:pStyle w:val="ListParagraph"/>
        <w:numPr>
          <w:ilvl w:val="1"/>
          <w:numId w:val="3"/>
        </w:numPr>
        <w:spacing w:before="0" w:after="240"/>
        <w:rPr>
          <w:rFonts w:ascii="Arial" w:hAnsi="Arial" w:cs="Arial"/>
        </w:rPr>
      </w:pPr>
      <w:r>
        <w:rPr>
          <w:rFonts w:cs="Arial" w:ascii="Arial" w:hAnsi="Arial"/>
        </w:rPr>
        <w:t>All landscaping shall be consistent with what is shown on the Final Development Plan.  Any substitutions due to plant availability must be similar in material and size.  All common area landscaping shall be owned and maintained by the HOA.</w:t>
      </w:r>
    </w:p>
    <w:p>
      <w:pPr>
        <w:pStyle w:val="ListParagraph"/>
        <w:numPr>
          <w:ilvl w:val="1"/>
          <w:numId w:val="3"/>
        </w:numPr>
        <w:spacing w:before="0" w:after="240"/>
        <w:rPr>
          <w:rFonts w:ascii="Arial" w:hAnsi="Arial" w:cs="Arial"/>
        </w:rPr>
      </w:pPr>
      <w:r>
        <w:rPr>
          <w:rFonts w:cs="Arial" w:ascii="Arial" w:hAnsi="Arial"/>
        </w:rPr>
        <w:t xml:space="preserve">Street trees to be installed in yard (in lieu of tree lawn) to avoid utility conflicts.  </w:t>
      </w:r>
    </w:p>
    <w:p>
      <w:pPr>
        <w:pStyle w:val="ListParagraph"/>
        <w:numPr>
          <w:ilvl w:val="1"/>
          <w:numId w:val="3"/>
        </w:numPr>
        <w:spacing w:before="0" w:after="240"/>
        <w:rPr>
          <w:rFonts w:ascii="Arial" w:hAnsi="Arial" w:cs="Arial"/>
        </w:rPr>
      </w:pPr>
      <w:r>
        <w:rPr>
          <w:rFonts w:cs="Arial" w:ascii="Arial" w:hAnsi="Arial"/>
        </w:rPr>
        <w:t xml:space="preserve">Effort shall be made to preserve trees east and west of Center Street.   Tree preservation efforts shall be coordinated with the Planning Director.  </w:t>
      </w:r>
    </w:p>
    <w:p>
      <w:pPr>
        <w:pStyle w:val="ListParagraph"/>
        <w:numPr>
          <w:ilvl w:val="0"/>
          <w:numId w:val="3"/>
        </w:numPr>
        <w:spacing w:before="0" w:after="240"/>
        <w:rPr>
          <w:rFonts w:ascii="Arial" w:hAnsi="Arial" w:cs="Arial"/>
        </w:rPr>
      </w:pPr>
      <w:r>
        <w:rPr>
          <w:rFonts w:cs="Arial" w:ascii="Arial" w:hAnsi="Arial"/>
        </w:rPr>
        <w:t>Fencing</w:t>
      </w:r>
    </w:p>
    <w:p>
      <w:pPr>
        <w:pStyle w:val="ListParagraph"/>
        <w:numPr>
          <w:ilvl w:val="1"/>
          <w:numId w:val="3"/>
        </w:numPr>
        <w:spacing w:before="0" w:after="240"/>
        <w:rPr>
          <w:rFonts w:ascii="Arial" w:hAnsi="Arial" w:cs="Arial"/>
        </w:rPr>
      </w:pPr>
      <w:r>
        <w:rPr>
          <w:rFonts w:cs="Arial" w:ascii="Arial" w:hAnsi="Arial"/>
        </w:rPr>
        <w:t xml:space="preserve">A fence is proposed along the property line of the two existing residences and common area at the north part of the property.  </w:t>
      </w:r>
    </w:p>
    <w:p>
      <w:pPr>
        <w:pStyle w:val="ListParagraph"/>
        <w:numPr>
          <w:ilvl w:val="0"/>
          <w:numId w:val="3"/>
        </w:numPr>
        <w:spacing w:before="0" w:after="240"/>
        <w:rPr>
          <w:rFonts w:ascii="Arial" w:hAnsi="Arial" w:cs="Arial"/>
        </w:rPr>
      </w:pPr>
      <w:r>
        <w:rPr>
          <w:rFonts w:cs="Arial" w:ascii="Arial" w:hAnsi="Arial"/>
        </w:rPr>
        <w:t>Pedestrian Connections</w:t>
      </w:r>
    </w:p>
    <w:p>
      <w:pPr>
        <w:pStyle w:val="ListParagraph"/>
        <w:numPr>
          <w:ilvl w:val="1"/>
          <w:numId w:val="3"/>
        </w:numPr>
        <w:spacing w:before="0" w:after="240"/>
        <w:rPr>
          <w:rFonts w:ascii="Arial" w:hAnsi="Arial" w:cs="Arial"/>
        </w:rPr>
      </w:pPr>
      <w:r>
        <w:rPr>
          <w:rFonts w:cs="Arial" w:ascii="Arial" w:hAnsi="Arial"/>
        </w:rPr>
        <w:t>Pedestrian pathways will be constructed along Franklin Street and Davis Road.</w:t>
      </w:r>
    </w:p>
    <w:p>
      <w:pPr>
        <w:pStyle w:val="ListParagraph"/>
        <w:numPr>
          <w:ilvl w:val="1"/>
          <w:numId w:val="3"/>
        </w:numPr>
        <w:spacing w:before="0" w:after="240"/>
        <w:rPr>
          <w:rFonts w:ascii="Arial" w:hAnsi="Arial" w:cs="Arial"/>
        </w:rPr>
      </w:pPr>
      <w:r>
        <w:rPr>
          <w:rFonts w:cs="Arial" w:ascii="Arial" w:hAnsi="Arial"/>
        </w:rPr>
        <w:t>Pedestrian pathways will be installed within the community as noted on Exhibit A and on the Final PUD plan.</w:t>
      </w:r>
    </w:p>
    <w:p>
      <w:pPr>
        <w:pStyle w:val="ListParagraph"/>
        <w:numPr>
          <w:ilvl w:val="1"/>
          <w:numId w:val="3"/>
        </w:numPr>
        <w:spacing w:before="0" w:after="240"/>
        <w:rPr>
          <w:rFonts w:ascii="Arial" w:hAnsi="Arial" w:cs="Arial"/>
        </w:rPr>
      </w:pPr>
      <w:r>
        <w:rPr>
          <w:rFonts w:cs="Arial" w:ascii="Arial" w:hAnsi="Arial"/>
        </w:rPr>
        <w:t xml:space="preserve">Pedestrian pathways not located within the right-of-way will be maintained by the HOA.  Pedestrian pathways provided in Common Areas B, C, G, H, and J shall be within a pedestrian transportation easement.  </w:t>
      </w:r>
    </w:p>
    <w:p>
      <w:pPr>
        <w:pStyle w:val="ListParagraph"/>
        <w:numPr>
          <w:ilvl w:val="0"/>
          <w:numId w:val="3"/>
        </w:numPr>
        <w:spacing w:before="0" w:after="240"/>
        <w:rPr>
          <w:rFonts w:ascii="Arial" w:hAnsi="Arial" w:cs="Arial"/>
        </w:rPr>
      </w:pPr>
      <w:r>
        <w:rPr>
          <w:rFonts w:cs="Arial" w:ascii="Arial" w:hAnsi="Arial"/>
        </w:rPr>
        <w:t>Center Street Extension</w:t>
      </w:r>
    </w:p>
    <w:p>
      <w:pPr>
        <w:pStyle w:val="ListParagraph"/>
        <w:numPr>
          <w:ilvl w:val="1"/>
          <w:numId w:val="3"/>
        </w:numPr>
        <w:spacing w:before="0" w:after="240"/>
        <w:rPr>
          <w:rFonts w:ascii="Arial" w:hAnsi="Arial" w:cs="Arial"/>
        </w:rPr>
      </w:pPr>
      <w:r>
        <w:rPr>
          <w:rFonts w:cs="Arial" w:ascii="Arial" w:hAnsi="Arial"/>
        </w:rPr>
        <w:t>Petitioner will do everything within Petitioner’s control to cause the extension of Center Street between the existing northern and southern segments, including assisting with vacation of right-of-way and removal of the existing cul-de-sac ball.</w:t>
      </w:r>
    </w:p>
    <w:p>
      <w:pPr>
        <w:pStyle w:val="ListParagraph"/>
        <w:numPr>
          <w:ilvl w:val="0"/>
          <w:numId w:val="3"/>
        </w:numPr>
        <w:spacing w:before="0" w:after="240"/>
        <w:rPr>
          <w:rFonts w:ascii="Arial" w:hAnsi="Arial" w:cs="Arial"/>
        </w:rPr>
      </w:pPr>
      <w:r>
        <w:rPr>
          <w:rFonts w:cs="Arial" w:ascii="Arial" w:hAnsi="Arial"/>
        </w:rPr>
        <w:t>Paired Units</w:t>
      </w:r>
    </w:p>
    <w:p>
      <w:pPr>
        <w:pStyle w:val="ListParagraph"/>
        <w:numPr>
          <w:ilvl w:val="1"/>
          <w:numId w:val="3"/>
        </w:numPr>
        <w:spacing w:before="0" w:after="240"/>
        <w:rPr>
          <w:rFonts w:ascii="Arial" w:hAnsi="Arial" w:cs="Arial"/>
        </w:rPr>
      </w:pPr>
      <w:r>
        <w:rPr>
          <w:rFonts w:cs="Arial" w:ascii="Arial" w:hAnsi="Arial"/>
        </w:rPr>
        <w:t>A minimum of 25% of buildings shall have courtyard driveways.</w:t>
      </w:r>
    </w:p>
    <w:p>
      <w:pPr>
        <w:pStyle w:val="ListParagraph"/>
        <w:numPr>
          <w:ilvl w:val="1"/>
          <w:numId w:val="3"/>
        </w:numPr>
        <w:spacing w:before="0" w:after="240"/>
        <w:rPr>
          <w:rFonts w:ascii="Arial" w:hAnsi="Arial" w:cs="Arial"/>
        </w:rPr>
      </w:pPr>
      <w:r>
        <w:rPr>
          <w:rFonts w:cs="Arial" w:ascii="Arial" w:hAnsi="Arial"/>
        </w:rPr>
        <w:t xml:space="preserve">Lots 41, 45, 47, 50 or 51, 54, 57, 59, 61, 64, 103, 105, 107 shall be designated as courtyard driveway buildings.  Developer/Builder reserves the right to adjust these lot designations but will maintain a minimum of 25% of buildings with courtyard drives with the intent of breaking up facades along the streetscape.  </w:t>
      </w:r>
    </w:p>
    <w:p>
      <w:pPr>
        <w:pStyle w:val="Normal"/>
        <w:spacing w:lineRule="auto" w:line="412"/>
        <w:ind w:right="80" w:hanging="0"/>
        <w:rPr>
          <w:rFonts w:ascii="Arial" w:hAnsi="Arial" w:eastAsia="Arial" w:cs="Arial"/>
          <w:b/>
          <w:b/>
          <w:bCs/>
          <w:w w:val="93"/>
        </w:rPr>
      </w:pPr>
      <w:r>
        <w:rPr>
          <w:rFonts w:eastAsia="Arial" w:cs="Arial" w:ascii="Arial" w:hAnsi="Arial"/>
          <w:b/>
          <w:bCs/>
          <w:w w:val="93"/>
        </w:rPr>
      </w:r>
    </w:p>
    <w:p>
      <w:pPr>
        <w:pStyle w:val="Normal"/>
        <w:spacing w:lineRule="auto" w:line="412"/>
        <w:ind w:right="80" w:hanging="0"/>
        <w:rPr>
          <w:rFonts w:ascii="Arial" w:hAnsi="Arial" w:eastAsia="Arial" w:cs="Arial"/>
          <w:b/>
          <w:b/>
          <w:bCs/>
          <w:spacing w:val="12"/>
        </w:rPr>
      </w:pPr>
      <w:r>
        <w:rPr>
          <w:rFonts w:eastAsia="Arial" w:cs="Arial" w:ascii="Arial" w:hAnsi="Arial"/>
          <w:b/>
          <w:bCs/>
          <w:w w:val="93"/>
        </w:rPr>
        <w:t>SECTION</w:t>
      </w:r>
      <w:r>
        <w:rPr>
          <w:rFonts w:eastAsia="Arial" w:cs="Arial" w:ascii="Arial" w:hAnsi="Arial"/>
          <w:b/>
          <w:bCs/>
          <w:spacing w:val="5"/>
          <w:w w:val="93"/>
        </w:rPr>
        <w:t xml:space="preserve"> </w:t>
      </w:r>
      <w:r>
        <w:rPr>
          <w:rFonts w:eastAsia="Arial" w:cs="Arial" w:ascii="Arial" w:hAnsi="Arial"/>
          <w:b/>
          <w:bCs/>
        </w:rPr>
        <w:t>VI.</w:t>
      </w:r>
      <w:r>
        <w:rPr>
          <w:rFonts w:eastAsia="Arial" w:cs="Arial" w:ascii="Arial" w:hAnsi="Arial"/>
          <w:b/>
          <w:bCs/>
          <w:spacing w:val="12"/>
        </w:rPr>
        <w:t xml:space="preserve">  ORDER AND ESTIMATED TIME OF DEVELOPMENT</w:t>
      </w:r>
    </w:p>
    <w:p>
      <w:pPr>
        <w:pStyle w:val="Normal"/>
        <w:jc w:val="both"/>
        <w:rPr>
          <w:rFonts w:ascii="Arial" w:hAnsi="Arial" w:eastAsia="Arial" w:cs="Arial"/>
          <w:spacing w:val="12"/>
        </w:rPr>
      </w:pPr>
      <w:r>
        <w:rPr>
          <w:rFonts w:eastAsia="Arial" w:cs="Arial" w:ascii="Arial" w:hAnsi="Arial"/>
          <w:spacing w:val="12"/>
        </w:rPr>
        <w:t xml:space="preserve">Parkrose is planned to begin construction in late Spring 2024 or Summer 2024 pending final </w:t>
      </w:r>
      <w:r>
        <w:rPr>
          <w:rFonts w:cs="Arial" w:ascii="Arial" w:hAnsi="Arial"/>
        </w:rPr>
        <w:t>approvals</w:t>
      </w:r>
      <w:r>
        <w:rPr>
          <w:rFonts w:eastAsia="Arial" w:cs="Arial" w:ascii="Arial" w:hAnsi="Arial"/>
          <w:spacing w:val="12"/>
        </w:rPr>
        <w:t xml:space="preserve">.   It is anticipated that Parkrose shall be completed in four (4) phases; however, phasing is subject to change. </w:t>
      </w:r>
    </w:p>
    <w:p>
      <w:pPr>
        <w:pStyle w:val="Normal"/>
        <w:ind w:right="80" w:hanging="0"/>
        <w:rPr>
          <w:rFonts w:ascii="Arial" w:hAnsi="Arial" w:eastAsia="Arial" w:cs="Arial"/>
          <w:bCs/>
          <w:spacing w:val="12"/>
        </w:rPr>
      </w:pPr>
      <w:r>
        <w:rPr>
          <w:rFonts w:eastAsia="Arial" w:cs="Arial" w:ascii="Arial" w:hAnsi="Arial"/>
          <w:bCs/>
          <w:spacing w:val="12"/>
        </w:rPr>
      </w:r>
    </w:p>
    <w:p>
      <w:pPr>
        <w:pStyle w:val="Normal"/>
        <w:ind w:right="80" w:hanging="0"/>
        <w:rPr>
          <w:rFonts w:ascii="Arial" w:hAnsi="Arial" w:eastAsia="Arial" w:cs="Arial"/>
          <w:bCs/>
          <w:spacing w:val="12"/>
        </w:rPr>
      </w:pPr>
      <w:r>
        <w:rPr>
          <w:rFonts w:eastAsia="Arial" w:cs="Arial" w:ascii="Arial" w:hAnsi="Arial"/>
          <w:bCs/>
          <w:spacing w:val="12"/>
        </w:rPr>
      </w:r>
    </w:p>
    <w:p>
      <w:pPr>
        <w:pStyle w:val="Normal"/>
        <w:spacing w:lineRule="auto" w:line="412"/>
        <w:ind w:right="80" w:hanging="0"/>
        <w:rPr>
          <w:rFonts w:ascii="Arial" w:hAnsi="Arial" w:cs="Arial"/>
          <w:b/>
          <w:b/>
        </w:rPr>
      </w:pPr>
      <w:r>
        <w:rPr>
          <w:rFonts w:eastAsia="Arial" w:cs="Arial" w:ascii="Arial" w:hAnsi="Arial"/>
          <w:b/>
          <w:bCs/>
        </w:rPr>
        <w:t>SECTION VII.</w:t>
      </w:r>
    </w:p>
    <w:p>
      <w:pPr>
        <w:pStyle w:val="Normal"/>
        <w:jc w:val="both"/>
        <w:rPr>
          <w:rFonts w:ascii="Arial" w:hAnsi="Arial" w:cs="Arial"/>
        </w:rPr>
      </w:pPr>
      <w:r>
        <w:rPr>
          <w:rFonts w:cs="Arial" w:ascii="Arial" w:hAnsi="Arial"/>
        </w:rPr>
        <w:t>This Ordinance shall be in full force and effect from and after its passage as provided by law.</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Passed in Council this ______ day of _________________, 2023.</w:t>
      </w:r>
    </w:p>
    <w:p>
      <w:pPr>
        <w:pStyle w:val="Normal"/>
        <w:jc w:val="both"/>
        <w:rPr>
          <w:rFonts w:ascii="Arial" w:hAnsi="Arial" w:cs="Arial"/>
        </w:rPr>
      </w:pPr>
      <w:r>
        <w:rPr>
          <w:rFonts w:cs="Arial" w:ascii="Arial" w:hAnsi="Arial"/>
        </w:rPr>
        <w:tab/>
        <w:tab/>
        <w:tab/>
        <w:tab/>
        <w:tab/>
        <w:tab/>
        <w:tab/>
        <w:tab/>
        <w:tab/>
        <w:tab/>
        <w:tab/>
        <w:tab/>
        <w:tab/>
        <w:tab/>
        <w:tab/>
        <w:tab/>
        <w:tab/>
        <w:tab/>
        <w:t>__________________________________</w:t>
        <w:br/>
        <w:tab/>
        <w:tab/>
        <w:tab/>
        <w:tab/>
        <w:tab/>
        <w:t>Chuck Fewell, Presiding Officer</w:t>
      </w:r>
    </w:p>
    <w:p>
      <w:pPr>
        <w:pStyle w:val="NoSpacing"/>
        <w:rPr>
          <w:rFonts w:ascii="Arial" w:hAnsi="Arial" w:cs="Arial"/>
          <w:b/>
          <w:b/>
          <w:sz w:val="24"/>
          <w:szCs w:val="24"/>
        </w:rPr>
      </w:pPr>
      <w:r>
        <w:rPr>
          <w:rFonts w:cs="Arial" w:ascii="Arial" w:hAnsi="Arial"/>
          <w:b/>
          <w:sz w:val="24"/>
          <w:szCs w:val="24"/>
        </w:rPr>
      </w:r>
    </w:p>
    <w:p>
      <w:pPr>
        <w:pStyle w:val="Normal"/>
        <w:rPr>
          <w:rFonts w:ascii="Arial" w:hAnsi="Arial" w:eastAsia="Calibri" w:cs="Arial" w:eastAsiaTheme="minorHAnsi"/>
          <w:b/>
          <w:b/>
        </w:rPr>
      </w:pPr>
      <w:r>
        <w:rPr>
          <w:rFonts w:eastAsia="Calibri" w:cs="Arial" w:eastAsiaTheme="minorHAnsi" w:ascii="Arial" w:hAnsi="Arial"/>
          <w:b/>
        </w:rPr>
      </w:r>
    </w:p>
    <w:p>
      <w:pPr>
        <w:pStyle w:val="NoSpacing"/>
        <w:rPr>
          <w:rFonts w:ascii="Arial" w:hAnsi="Arial" w:cs="Arial"/>
          <w:b/>
          <w:b/>
          <w:sz w:val="24"/>
          <w:szCs w:val="24"/>
        </w:rPr>
      </w:pPr>
      <w:r>
        <w:rPr>
          <w:rFonts w:cs="Arial" w:ascii="Arial" w:hAnsi="Arial"/>
          <w:b/>
          <w:sz w:val="24"/>
          <w:szCs w:val="24"/>
        </w:rPr>
      </w:r>
    </w:p>
    <w:p>
      <w:pPr>
        <w:pStyle w:val="NoSpacing"/>
        <w:rPr>
          <w:rFonts w:ascii="Arial" w:hAnsi="Arial" w:cs="Arial"/>
          <w:sz w:val="20"/>
          <w:szCs w:val="20"/>
        </w:rPr>
      </w:pPr>
      <w:r>
        <w:rPr>
          <w:rFonts w:cs="Arial" w:ascii="Arial" w:hAnsi="Arial"/>
          <w:sz w:val="20"/>
          <w:szCs w:val="20"/>
        </w:rPr>
        <w:t>Voting Affirmative:</w:t>
        <w:tab/>
        <w:tab/>
        <w:tab/>
        <w:tab/>
        <w:tab/>
        <w:t>Voting Opposed:</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br/>
        <w:t>Kerry Grass</w:t>
        <w:tab/>
        <w:tab/>
        <w:tab/>
        <w:tab/>
        <w:tab/>
        <w:tab/>
        <w:t>Kerry Grass</w:t>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r>
    </w:p>
    <w:p>
      <w:pPr>
        <w:pStyle w:val="NoSpacing"/>
        <w:rPr>
          <w:rFonts w:ascii="Arial" w:hAnsi="Arial" w:cs="Arial"/>
          <w:sz w:val="20"/>
          <w:szCs w:val="20"/>
        </w:rPr>
      </w:pPr>
      <w:r>
        <w:rPr>
          <w:rFonts w:cs="Arial" w:ascii="Arial" w:hAnsi="Arial"/>
          <w:sz w:val="20"/>
          <w:szCs w:val="20"/>
        </w:rPr>
        <w:t>Jeff Lowder</w:t>
        <w:tab/>
        <w:tab/>
        <w:tab/>
        <w:tab/>
        <w:tab/>
        <w:tab/>
        <w:t>Jeff Lowder</w:t>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color w:val="FF0000"/>
          <w:sz w:val="20"/>
          <w:szCs w:val="20"/>
        </w:rPr>
        <w:softHyphen/>
      </w:r>
      <w:r>
        <w:rPr>
          <w:rFonts w:cs="Arial" w:ascii="Arial" w:hAnsi="Arial"/>
          <w:sz w:val="20"/>
          <w:szCs w:val="20"/>
        </w:rPr>
        <w:t>___________________________________</w:t>
        <w:tab/>
        <w:tab/>
        <w:t>____________________________________</w:t>
        <w:br/>
        <w:t>Mitch Pendlum</w:t>
        <w:tab/>
        <w:tab/>
        <w:tab/>
        <w:tab/>
        <w:tab/>
        <w:tab/>
        <w:t>Mitch Pendlum</w:t>
        <w:tab/>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br/>
        <w:t>George Plisinski</w:t>
        <w:tab/>
        <w:tab/>
        <w:tab/>
        <w:tab/>
        <w:tab/>
        <w:t>George Plisinski</w:t>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br/>
        <w:t>Dan Riley</w:t>
        <w:tab/>
        <w:tab/>
        <w:tab/>
        <w:tab/>
        <w:tab/>
        <w:tab/>
        <w:t>Dan Riley</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br/>
        <w:t>Anthony Scott</w:t>
        <w:tab/>
        <w:tab/>
        <w:tab/>
        <w:tab/>
        <w:tab/>
        <w:tab/>
        <w:t>Anthony Scott</w:t>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sz w:val="20"/>
          <w:szCs w:val="20"/>
        </w:rPr>
        <w:t>___________________________________</w:t>
        <w:tab/>
        <w:tab/>
        <w:t>____________________________________</w:t>
        <w:br/>
        <w:t>John Jester</w:t>
        <w:tab/>
        <w:tab/>
        <w:tab/>
        <w:tab/>
        <w:tab/>
        <w:tab/>
        <w:t>John Jester</w:t>
      </w:r>
    </w:p>
    <w:p>
      <w:pPr>
        <w:pStyle w:val="NoSpacing"/>
        <w:rPr>
          <w:rFonts w:ascii="Arial" w:hAnsi="Arial" w:cs="Arial"/>
          <w:color w:val="FF0000"/>
          <w:sz w:val="20"/>
          <w:szCs w:val="20"/>
        </w:rPr>
      </w:pPr>
      <w:r>
        <w:rPr>
          <w:rFonts w:cs="Arial" w:ascii="Arial" w:hAnsi="Arial"/>
          <w:color w:val="FF0000"/>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ATTEST:</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____________________________________</w:t>
        <w:br/>
        <w:t>Lori Elmore, Clerk-Treasurer</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b/>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b/>
      </w:r>
    </w:p>
    <w:p>
      <w:pPr>
        <w:pStyle w:val="NoSpacing"/>
        <w:ind w:firstLine="720"/>
        <w:rPr>
          <w:rFonts w:ascii="Arial" w:hAnsi="Arial" w:cs="Arial"/>
          <w:sz w:val="20"/>
          <w:szCs w:val="20"/>
        </w:rPr>
      </w:pPr>
      <w:r>
        <w:rPr>
          <w:rFonts w:cs="Arial" w:ascii="Arial" w:hAnsi="Arial"/>
          <w:sz w:val="20"/>
          <w:szCs w:val="20"/>
        </w:rPr>
        <w:t>Presented by me to the Mayor this ______ day of ______________________, 2023.</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b/>
        <w:tab/>
        <w:tab/>
        <w:tab/>
        <w:tab/>
        <w:tab/>
        <w:tab/>
        <w:t>__________________________________</w:t>
        <w:br/>
        <w:tab/>
        <w:tab/>
        <w:tab/>
        <w:tab/>
        <w:tab/>
        <w:tab/>
        <w:tab/>
        <w:t>Lori Elmore, Clerk-Treasurer</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ind w:firstLine="720"/>
        <w:rPr>
          <w:rFonts w:ascii="Arial" w:hAnsi="Arial" w:cs="Arial"/>
          <w:sz w:val="20"/>
          <w:szCs w:val="20"/>
        </w:rPr>
      </w:pPr>
      <w:r>
        <w:rPr>
          <w:rFonts w:cs="Arial" w:ascii="Arial" w:hAnsi="Arial"/>
          <w:sz w:val="20"/>
          <w:szCs w:val="20"/>
        </w:rPr>
      </w:r>
    </w:p>
    <w:p>
      <w:pPr>
        <w:pStyle w:val="NoSpacing"/>
        <w:ind w:firstLine="720"/>
        <w:rPr>
          <w:rFonts w:ascii="Arial" w:hAnsi="Arial" w:cs="Arial"/>
          <w:sz w:val="20"/>
          <w:szCs w:val="20"/>
        </w:rPr>
      </w:pPr>
      <w:r>
        <w:rPr>
          <w:rFonts w:cs="Arial" w:ascii="Arial" w:hAnsi="Arial"/>
          <w:sz w:val="20"/>
          <w:szCs w:val="20"/>
        </w:rPr>
        <w:t>Approved by me this ______ day of _______________________, 2023.</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b/>
        <w:tab/>
        <w:tab/>
        <w:tab/>
        <w:tab/>
        <w:tab/>
        <w:tab/>
        <w:t>__________________________________</w:t>
        <w:br/>
        <w:tab/>
        <w:tab/>
        <w:tab/>
        <w:tab/>
        <w:tab/>
        <w:tab/>
        <w:tab/>
        <w:t>Chuck Fewell, Mayor</w:t>
      </w:r>
    </w:p>
    <w:p>
      <w:pPr>
        <w:pStyle w:val="NoSpacing"/>
        <w:rPr>
          <w:rFonts w:ascii="Arial" w:hAnsi="Arial" w:cs="Arial"/>
          <w:sz w:val="20"/>
          <w:szCs w:val="20"/>
        </w:rPr>
      </w:pPr>
      <w:r>
        <w:rPr>
          <w:rFonts w:cs="Arial" w:ascii="Arial" w:hAnsi="Arial"/>
          <w:sz w:val="20"/>
          <w:szCs w:val="20"/>
        </w:rPr>
        <w:tab/>
        <w:tab/>
        <w:tab/>
        <w:tab/>
        <w:tab/>
        <w:tab/>
        <w:tab/>
        <w:t>City of Greenfield</w:t>
      </w:r>
    </w:p>
    <w:sectPr>
      <w:headerReference w:type="default" r:id="rId31"/>
      <w:footerReference w:type="default" r:id="rId32"/>
      <w:type w:val="nextPage"/>
      <w:pgSz w:w="12240" w:h="15840"/>
      <w:pgMar w:left="1440" w:right="144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nsolas">
    <w:charset w:val="00"/>
    <w:family w:val="roman"/>
    <w:pitch w:val="variable"/>
  </w:font>
  <w:font w:name="Segoe UI">
    <w:charset w:val="00"/>
    <w:family w:val="roman"/>
    <w:pitch w:val="variable"/>
  </w:font>
  <w:font w:name="Liberation Sans">
    <w:altName w:val="Arial"/>
    <w:charset w:val="00"/>
    <w:family w:val="swiss"/>
    <w:pitch w:val="variable"/>
  </w:font>
  <w:font w:name="Calibri">
    <w:charset w:val="00"/>
    <w:family w:val="roman"/>
    <w:pitch w:val="variable"/>
  </w:font>
  <w:font w:name="Arial">
    <w:charset w:val="00"/>
    <w:family w:val="roman"/>
    <w:pitch w:val="variable"/>
  </w:font>
  <w:font w:name="Arial Unicode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200"/>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200"/>
      <w:rPr>
        <w:sz w:val="20"/>
        <w:szCs w:val="20"/>
      </w:rPr>
    </w:pPr>
    <w:r>
      <w:rPr>
        <w:sz w:val="20"/>
        <w:szCs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200"/>
      <w:rPr>
        <w:sz w:val="20"/>
        <w:szCs w:val="20"/>
      </w:rPr>
    </w:pPr>
    <w:r>
      <w:rPr>
        <w:sz w:val="20"/>
        <w:szCs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200"/>
      <w:rPr>
        <w:sz w:val="20"/>
        <w:szCs w:val="20"/>
      </w:rPr>
    </w:pPr>
    <w:r>
      <w:rPr>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882" w:hanging="390"/>
      </w:pPr>
      <w:rPr/>
    </w:lvl>
    <w:lvl w:ilvl="1">
      <w:start w:val="1"/>
      <w:numFmt w:val="lowerLetter"/>
      <w:lvlText w:val="%2."/>
      <w:lvlJc w:val="left"/>
      <w:pPr>
        <w:tabs>
          <w:tab w:val="num" w:pos="0"/>
        </w:tabs>
        <w:ind w:left="1572" w:hanging="360"/>
      </w:pPr>
      <w:rPr/>
    </w:lvl>
    <w:lvl w:ilvl="2">
      <w:start w:val="1"/>
      <w:numFmt w:val="lowerRoman"/>
      <w:lvlText w:val="%3."/>
      <w:lvlJc w:val="right"/>
      <w:pPr>
        <w:tabs>
          <w:tab w:val="num" w:pos="0"/>
        </w:tabs>
        <w:ind w:left="2292" w:hanging="180"/>
      </w:pPr>
      <w:rPr/>
    </w:lvl>
    <w:lvl w:ilvl="3">
      <w:start w:val="1"/>
      <w:numFmt w:val="decimal"/>
      <w:lvlText w:val="%4."/>
      <w:lvlJc w:val="left"/>
      <w:pPr>
        <w:tabs>
          <w:tab w:val="num" w:pos="0"/>
        </w:tabs>
        <w:ind w:left="3012" w:hanging="360"/>
      </w:pPr>
      <w:rPr/>
    </w:lvl>
    <w:lvl w:ilvl="4">
      <w:start w:val="1"/>
      <w:numFmt w:val="lowerLetter"/>
      <w:lvlText w:val="%5."/>
      <w:lvlJc w:val="left"/>
      <w:pPr>
        <w:tabs>
          <w:tab w:val="num" w:pos="0"/>
        </w:tabs>
        <w:ind w:left="3732" w:hanging="360"/>
      </w:pPr>
      <w:rPr/>
    </w:lvl>
    <w:lvl w:ilvl="5">
      <w:start w:val="1"/>
      <w:numFmt w:val="lowerRoman"/>
      <w:lvlText w:val="%6."/>
      <w:lvlJc w:val="right"/>
      <w:pPr>
        <w:tabs>
          <w:tab w:val="num" w:pos="0"/>
        </w:tabs>
        <w:ind w:left="4452" w:hanging="180"/>
      </w:pPr>
      <w:rPr/>
    </w:lvl>
    <w:lvl w:ilvl="6">
      <w:start w:val="1"/>
      <w:numFmt w:val="decimal"/>
      <w:lvlText w:val="%7."/>
      <w:lvlJc w:val="left"/>
      <w:pPr>
        <w:tabs>
          <w:tab w:val="num" w:pos="0"/>
        </w:tabs>
        <w:ind w:left="5172" w:hanging="360"/>
      </w:pPr>
      <w:rPr/>
    </w:lvl>
    <w:lvl w:ilvl="7">
      <w:start w:val="1"/>
      <w:numFmt w:val="lowerLetter"/>
      <w:lvlText w:val="%8."/>
      <w:lvlJc w:val="left"/>
      <w:pPr>
        <w:tabs>
          <w:tab w:val="num" w:pos="0"/>
        </w:tabs>
        <w:ind w:left="5892" w:hanging="360"/>
      </w:pPr>
      <w:rPr/>
    </w:lvl>
    <w:lvl w:ilvl="8">
      <w:start w:val="1"/>
      <w:numFmt w:val="lowerRoman"/>
      <w:lvlText w:val="%9."/>
      <w:lvlJc w:val="right"/>
      <w:pPr>
        <w:tabs>
          <w:tab w:val="num" w:pos="0"/>
        </w:tabs>
        <w:ind w:left="6612" w:hanging="180"/>
      </w:pPr>
      <w:rPr/>
    </w:lvl>
  </w:abstractNum>
  <w:abstractNum w:abstractNumId="2">
    <w:lvl w:ilvl="0">
      <w:start w:val="1"/>
      <w:numFmt w:val="lowerLetter"/>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1080" w:hanging="360"/>
      </w:pPr>
      <w:rPr>
        <w:rFonts w:ascii="Arial" w:hAnsi="Arial" w:eastAsia="Times New Roman" w:cs="Arial"/>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
    <w:lvl w:ilvl="0">
      <w:start w:val="1"/>
      <w:numFmt w:val="upperLetter"/>
      <w:lvlText w:val="%1."/>
      <w:lvlJc w:val="left"/>
      <w:pPr>
        <w:tabs>
          <w:tab w:val="num" w:pos="0"/>
        </w:tabs>
        <w:ind w:left="1080" w:hanging="360"/>
      </w:pPr>
      <w:rPr>
        <w: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02f36"/>
    <w:pPr>
      <w:widowControl/>
      <w:bidi w:val="0"/>
      <w:spacing w:before="0" w:after="0"/>
      <w:jc w:val="left"/>
    </w:pPr>
    <w:rPr>
      <w:rFonts w:ascii="Times New Roman" w:hAnsi="Times New Roman" w:eastAsia="Times New Roman" w:cs="Times New Roman"/>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PlainTextChar" w:customStyle="1">
    <w:name w:val="Plain Text Char"/>
    <w:basedOn w:val="DefaultParagraphFont"/>
    <w:link w:val="PlainText"/>
    <w:uiPriority w:val="99"/>
    <w:qFormat/>
    <w:rsid w:val="006f2dfc"/>
    <w:rPr>
      <w:rFonts w:ascii="Consolas" w:hAnsi="Consolas" w:eastAsia="Calibri" w:cs="Consolas" w:eastAsiaTheme="minorHAnsi"/>
      <w:sz w:val="21"/>
      <w:szCs w:val="21"/>
    </w:rPr>
  </w:style>
  <w:style w:type="character" w:styleId="HeaderChar" w:customStyle="1">
    <w:name w:val="Header Char"/>
    <w:basedOn w:val="DefaultParagraphFont"/>
    <w:link w:val="Header"/>
    <w:uiPriority w:val="99"/>
    <w:qFormat/>
    <w:rsid w:val="006f2dfc"/>
    <w:rPr>
      <w:sz w:val="24"/>
      <w:szCs w:val="24"/>
    </w:rPr>
  </w:style>
  <w:style w:type="character" w:styleId="FooterChar" w:customStyle="1">
    <w:name w:val="Footer Char"/>
    <w:basedOn w:val="DefaultParagraphFont"/>
    <w:link w:val="Footer"/>
    <w:uiPriority w:val="99"/>
    <w:qFormat/>
    <w:rsid w:val="006f2dfc"/>
    <w:rPr>
      <w:sz w:val="24"/>
      <w:szCs w:val="24"/>
    </w:rPr>
  </w:style>
  <w:style w:type="character" w:styleId="BalloonTextChar" w:customStyle="1">
    <w:name w:val="Balloon Text Char"/>
    <w:basedOn w:val="DefaultParagraphFont"/>
    <w:link w:val="BalloonText"/>
    <w:uiPriority w:val="99"/>
    <w:semiHidden/>
    <w:qFormat/>
    <w:rsid w:val="002832a0"/>
    <w:rPr>
      <w:rFonts w:ascii="Segoe UI" w:hAnsi="Segoe UI" w:cs="Segoe UI"/>
      <w:sz w:val="18"/>
      <w:szCs w:val="18"/>
    </w:rPr>
  </w:style>
  <w:style w:type="character" w:styleId="Annotationreference">
    <w:name w:val="annotation reference"/>
    <w:basedOn w:val="DefaultParagraphFont"/>
    <w:uiPriority w:val="99"/>
    <w:semiHidden/>
    <w:unhideWhenUsed/>
    <w:qFormat/>
    <w:rsid w:val="004853c7"/>
    <w:rPr>
      <w:sz w:val="16"/>
      <w:szCs w:val="16"/>
    </w:rPr>
  </w:style>
  <w:style w:type="character" w:styleId="CommentTextChar" w:customStyle="1">
    <w:name w:val="Comment Text Char"/>
    <w:basedOn w:val="DefaultParagraphFont"/>
    <w:link w:val="Annotationtext"/>
    <w:uiPriority w:val="99"/>
    <w:qFormat/>
    <w:rsid w:val="004853c7"/>
    <w:rPr/>
  </w:style>
  <w:style w:type="character" w:styleId="CommentSubjectChar" w:customStyle="1">
    <w:name w:val="Comment Subject Char"/>
    <w:basedOn w:val="CommentTextChar"/>
    <w:link w:val="Annotationsubject"/>
    <w:uiPriority w:val="99"/>
    <w:semiHidden/>
    <w:qFormat/>
    <w:rsid w:val="004853c7"/>
    <w:rPr>
      <w:b/>
      <w:bCs/>
    </w:rPr>
  </w:style>
  <w:style w:type="character" w:styleId="SmithHaleChar" w:customStyle="1">
    <w:name w:val="Smith&amp;Hale Char"/>
    <w:basedOn w:val="DefaultParagraphFont"/>
    <w:link w:val="SmithHale"/>
    <w:qFormat/>
    <w:rsid w:val="000c0b19"/>
    <w:rPr>
      <w:rFonts w:eastAsia="Calibri" w:eastAsiaTheme="minorHAnsi"/>
      <w:sz w:val="24"/>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PlainText">
    <w:name w:val="Plain Text"/>
    <w:basedOn w:val="Normal"/>
    <w:link w:val="PlainTextChar"/>
    <w:uiPriority w:val="99"/>
    <w:unhideWhenUsed/>
    <w:qFormat/>
    <w:rsid w:val="006f2dfc"/>
    <w:pPr/>
    <w:rPr>
      <w:rFonts w:ascii="Consolas" w:hAnsi="Consolas" w:eastAsia="Calibri" w:cs="Consolas" w:eastAsiaTheme="minorHAnsi"/>
      <w:sz w:val="21"/>
      <w:szCs w:val="21"/>
    </w:rPr>
  </w:style>
  <w:style w:type="paragraph" w:styleId="ListParagraph">
    <w:name w:val="List Paragraph"/>
    <w:basedOn w:val="Normal"/>
    <w:uiPriority w:val="34"/>
    <w:qFormat/>
    <w:rsid w:val="006f2dfc"/>
    <w:pPr>
      <w:ind w:left="720" w:hanging="0"/>
    </w:pPr>
    <w:rPr>
      <w:rFonts w:eastAsia="Calibri" w:eastAsiaTheme="minorHAnsi"/>
    </w:rPr>
  </w:style>
  <w:style w:type="paragraph" w:styleId="HeaderandFooter">
    <w:name w:val="Header and Footer"/>
    <w:basedOn w:val="Normal"/>
    <w:qFormat/>
    <w:pPr/>
    <w:rPr/>
  </w:style>
  <w:style w:type="paragraph" w:styleId="Header">
    <w:name w:val="Header"/>
    <w:basedOn w:val="Normal"/>
    <w:link w:val="HeaderChar"/>
    <w:uiPriority w:val="99"/>
    <w:unhideWhenUsed/>
    <w:rsid w:val="006f2dfc"/>
    <w:pPr>
      <w:tabs>
        <w:tab w:val="clear" w:pos="720"/>
        <w:tab w:val="center" w:pos="4680" w:leader="none"/>
        <w:tab w:val="right" w:pos="9360" w:leader="none"/>
      </w:tabs>
    </w:pPr>
    <w:rPr/>
  </w:style>
  <w:style w:type="paragraph" w:styleId="Footer">
    <w:name w:val="Footer"/>
    <w:basedOn w:val="Normal"/>
    <w:link w:val="FooterChar"/>
    <w:uiPriority w:val="99"/>
    <w:unhideWhenUsed/>
    <w:rsid w:val="006f2dfc"/>
    <w:pPr>
      <w:tabs>
        <w:tab w:val="clear" w:pos="720"/>
        <w:tab w:val="center" w:pos="4680" w:leader="none"/>
        <w:tab w:val="right" w:pos="9360" w:leader="none"/>
      </w:tabs>
    </w:pPr>
    <w:rPr/>
  </w:style>
  <w:style w:type="paragraph" w:styleId="BalloonText">
    <w:name w:val="Balloon Text"/>
    <w:basedOn w:val="Normal"/>
    <w:link w:val="BalloonTextChar"/>
    <w:uiPriority w:val="99"/>
    <w:semiHidden/>
    <w:unhideWhenUsed/>
    <w:qFormat/>
    <w:rsid w:val="002832a0"/>
    <w:pPr/>
    <w:rPr>
      <w:rFonts w:ascii="Segoe UI" w:hAnsi="Segoe UI" w:cs="Segoe UI"/>
      <w:sz w:val="18"/>
      <w:szCs w:val="18"/>
    </w:rPr>
  </w:style>
  <w:style w:type="paragraph" w:styleId="NoSpacing">
    <w:name w:val="No Spacing"/>
    <w:uiPriority w:val="1"/>
    <w:qFormat/>
    <w:rsid w:val="009b0cdb"/>
    <w:pPr>
      <w:widowControl w:val="false"/>
      <w:bidi w:val="0"/>
      <w:spacing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Annotationtext">
    <w:name w:val="annotation text"/>
    <w:basedOn w:val="Normal"/>
    <w:link w:val="CommentTextChar"/>
    <w:uiPriority w:val="99"/>
    <w:unhideWhenUsed/>
    <w:qFormat/>
    <w:rsid w:val="004853c7"/>
    <w:pPr/>
    <w:rPr>
      <w:sz w:val="20"/>
      <w:szCs w:val="20"/>
    </w:rPr>
  </w:style>
  <w:style w:type="paragraph" w:styleId="Annotationsubject">
    <w:name w:val="annotation subject"/>
    <w:basedOn w:val="Annotationtext"/>
    <w:next w:val="Annotationtext"/>
    <w:link w:val="CommentSubjectChar"/>
    <w:uiPriority w:val="99"/>
    <w:semiHidden/>
    <w:unhideWhenUsed/>
    <w:qFormat/>
    <w:rsid w:val="004853c7"/>
    <w:pPr/>
    <w:rPr>
      <w:b/>
      <w:bCs/>
    </w:rPr>
  </w:style>
  <w:style w:type="paragraph" w:styleId="SmithHale" w:customStyle="1">
    <w:name w:val="Smith&amp;Hale"/>
    <w:basedOn w:val="NoSpacing"/>
    <w:link w:val="SmithHaleChar"/>
    <w:qFormat/>
    <w:rsid w:val="000c0b19"/>
    <w:pPr/>
    <w:rPr>
      <w:rFonts w:ascii="Times New Roman" w:hAnsi="Times New Roman" w:cs="Times New Roman"/>
      <w:sz w:val="24"/>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125e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header" Target="header1.xml"/><Relationship Id="rId25" Type="http://schemas.openxmlformats.org/officeDocument/2006/relationships/footer" Target="footer2.xml"/><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2.xml"/><Relationship Id="rId30" Type="http://schemas.openxmlformats.org/officeDocument/2006/relationships/footer" Target="footer3.xml"/><Relationship Id="rId31" Type="http://schemas.openxmlformats.org/officeDocument/2006/relationships/header" Target="header3.xml"/><Relationship Id="rId32" Type="http://schemas.openxmlformats.org/officeDocument/2006/relationships/footer" Target="footer4.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8CB47-690E-430F-9095-ACDE65BD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LibreOffice/7.3.2.2$Windows_X86_64 LibreOffice_project/49f2b1bff42cfccbd8f788c8dc32c1c309559be0</Application>
  <AppVersion>15.0000</AppVersion>
  <Pages>26</Pages>
  <Words>3145</Words>
  <Characters>17297</Characters>
  <CharactersWithSpaces>20448</CharactersWithSpaces>
  <Paragraphs>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2023-09-21T19:52:00Z</dcterms:created>
  <dc:creator/>
  <dc:description/>
  <dc:language>en-US</dc:language>
  <cp:lastModifiedBy/>
  <cp:lastPrinted>2016-12-05T21:01:00Z</cp:lastPrinted>
  <dcterms:modified xsi:type="dcterms:W3CDTF">2023-10-09T12:01:53Z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